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105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gridCol w:w="1704"/>
      </w:tblGrid>
      <w:tr w:rsidR="00CF6BB7" w:rsidTr="00CF0429">
        <w:trPr>
          <w:jc w:val="center"/>
        </w:trPr>
        <w:tc>
          <w:tcPr>
            <w:tcW w:w="10524" w:type="dxa"/>
            <w:gridSpan w:val="2"/>
          </w:tcPr>
          <w:tbl>
            <w:tblPr>
              <w:tblStyle w:val="a9"/>
              <w:bidiVisual/>
              <w:tblW w:w="103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89"/>
              <w:gridCol w:w="1585"/>
              <w:gridCol w:w="7226"/>
              <w:gridCol w:w="8"/>
            </w:tblGrid>
            <w:tr w:rsidR="00CF0429" w:rsidTr="00CF0429">
              <w:trPr>
                <w:gridAfter w:val="1"/>
                <w:wAfter w:w="8" w:type="dxa"/>
                <w:jc w:val="center"/>
              </w:trPr>
              <w:tc>
                <w:tcPr>
                  <w:tcW w:w="1489" w:type="dxa"/>
                  <w:hideMark/>
                </w:tcPr>
                <w:p w:rsidR="00CF0429" w:rsidRDefault="0094424E" w:rsidP="00CF0429">
                  <w:pPr>
                    <w:suppressLineNumbers/>
                    <w:spacing w:after="120" w:line="360" w:lineRule="auto"/>
                    <w:ind w:firstLine="456"/>
                    <w:jc w:val="both"/>
                    <w:rPr>
                      <w:rFonts w:ascii="David" w:hAnsi="David"/>
                      <w:b/>
                      <w:bCs/>
                      <w:noProof w:val="0"/>
                      <w:sz w:val="26"/>
                      <w:szCs w:val="26"/>
                    </w:rPr>
                  </w:pPr>
                  <w:bookmarkStart w:id="0" w:name="_GoBack"/>
                  <w:bookmarkEnd w:id="0"/>
                  <w:r>
                    <w:rPr>
                      <w:rtl/>
                    </w:rPr>
                    <w:t xml:space="preserve"> </w:t>
                  </w:r>
                  <w:r w:rsidR="00CF0429">
                    <w:rPr>
                      <w:rFonts w:hint="cs"/>
                      <w:rtl/>
                    </w:rPr>
                    <w:t xml:space="preserve">     </w:t>
                  </w:r>
                  <w:r w:rsidR="00CF0429">
                    <w:rPr>
                      <w:rFonts w:ascii="David" w:hAnsi="David"/>
                      <w:b/>
                      <w:bCs/>
                      <w:sz w:val="26"/>
                      <w:szCs w:val="26"/>
                      <w:rtl/>
                    </w:rPr>
                    <w:t xml:space="preserve">בפני </w:t>
                  </w:r>
                </w:p>
              </w:tc>
              <w:tc>
                <w:tcPr>
                  <w:tcW w:w="8811" w:type="dxa"/>
                  <w:gridSpan w:val="2"/>
                </w:tcPr>
                <w:p w:rsidR="00CF0429" w:rsidRDefault="00CF0429" w:rsidP="00CF0429">
                  <w:pPr>
                    <w:suppressLineNumbers/>
                    <w:spacing w:after="120" w:line="360" w:lineRule="auto"/>
                    <w:rPr>
                      <w:rFonts w:ascii="David" w:hAnsi="David"/>
                      <w:b/>
                      <w:bCs/>
                      <w:sz w:val="26"/>
                      <w:szCs w:val="26"/>
                      <w:highlight w:val="yellow"/>
                      <w:rtl/>
                    </w:rPr>
                  </w:pPr>
                  <w:r>
                    <w:rPr>
                      <w:rFonts w:ascii="David" w:hAnsi="David"/>
                      <w:b/>
                      <w:bCs/>
                      <w:sz w:val="26"/>
                      <w:szCs w:val="26"/>
                      <w:rtl/>
                    </w:rPr>
                    <w:t>כבוד השופט  חננאל שרעבי</w:t>
                  </w:r>
                </w:p>
                <w:p w:rsidR="00CF0429" w:rsidRDefault="00CF0429" w:rsidP="00CF0429">
                  <w:pPr>
                    <w:suppressLineNumbers/>
                    <w:spacing w:after="120" w:line="360" w:lineRule="auto"/>
                    <w:rPr>
                      <w:rFonts w:ascii="David" w:hAnsi="David"/>
                      <w:b/>
                      <w:bCs/>
                      <w:sz w:val="26"/>
                      <w:szCs w:val="26"/>
                      <w:highlight w:val="yellow"/>
                      <w:rtl/>
                    </w:rPr>
                  </w:pPr>
                </w:p>
              </w:tc>
            </w:tr>
            <w:tr w:rsidR="00CF0429" w:rsidTr="00CF0429">
              <w:trPr>
                <w:jc w:val="center"/>
              </w:trPr>
              <w:tc>
                <w:tcPr>
                  <w:tcW w:w="3074" w:type="dxa"/>
                  <w:gridSpan w:val="2"/>
                </w:tcPr>
                <w:p w:rsidR="00CF0429" w:rsidRDefault="00CF0429" w:rsidP="00CF0429">
                  <w:pPr>
                    <w:suppressLineNumbers/>
                    <w:spacing w:after="120" w:line="360" w:lineRule="auto"/>
                    <w:ind w:left="388" w:firstLine="284"/>
                    <w:rPr>
                      <w:rFonts w:ascii="David" w:hAnsi="David"/>
                      <w:b/>
                      <w:bCs/>
                      <w:noProof w:val="0"/>
                      <w:sz w:val="26"/>
                      <w:szCs w:val="26"/>
                    </w:rPr>
                  </w:pPr>
                  <w:r>
                    <w:rPr>
                      <w:rFonts w:ascii="David" w:hAnsi="David" w:hint="cs"/>
                      <w:b/>
                      <w:bCs/>
                      <w:sz w:val="26"/>
                      <w:szCs w:val="26"/>
                      <w:rtl/>
                    </w:rPr>
                    <w:t xml:space="preserve">     </w:t>
                  </w:r>
                  <w:r>
                    <w:rPr>
                      <w:rFonts w:ascii="David" w:hAnsi="David"/>
                      <w:b/>
                      <w:bCs/>
                      <w:sz w:val="26"/>
                      <w:szCs w:val="26"/>
                      <w:rtl/>
                    </w:rPr>
                    <w:t>בעניין</w:t>
                  </w:r>
                </w:p>
                <w:p w:rsidR="00CF0429" w:rsidRDefault="00CF0429" w:rsidP="00CF0429">
                  <w:pPr>
                    <w:suppressLineNumbers/>
                    <w:spacing w:after="120" w:line="360" w:lineRule="auto"/>
                    <w:rPr>
                      <w:rFonts w:ascii="David" w:hAnsi="David"/>
                      <w:b/>
                      <w:bCs/>
                      <w:sz w:val="26"/>
                      <w:szCs w:val="26"/>
                      <w:rtl/>
                    </w:rPr>
                  </w:pPr>
                </w:p>
                <w:p w:rsidR="00CF0429" w:rsidRDefault="00CF0429" w:rsidP="00CF0429">
                  <w:pPr>
                    <w:suppressLineNumbers/>
                    <w:spacing w:after="120" w:line="360" w:lineRule="auto"/>
                    <w:ind w:firstLine="955"/>
                    <w:rPr>
                      <w:rFonts w:ascii="David" w:hAnsi="David"/>
                      <w:b/>
                      <w:bCs/>
                      <w:sz w:val="26"/>
                      <w:szCs w:val="26"/>
                      <w:rtl/>
                    </w:rPr>
                  </w:pPr>
                  <w:r>
                    <w:rPr>
                      <w:rFonts w:ascii="David" w:hAnsi="David"/>
                      <w:b/>
                      <w:bCs/>
                      <w:sz w:val="26"/>
                      <w:szCs w:val="26"/>
                      <w:rtl/>
                    </w:rPr>
                    <w:t>המבקש</w:t>
                  </w:r>
                </w:p>
              </w:tc>
              <w:tc>
                <w:tcPr>
                  <w:tcW w:w="7234" w:type="dxa"/>
                  <w:gridSpan w:val="2"/>
                </w:tcPr>
                <w:p w:rsidR="00CF0429" w:rsidRDefault="00CF0429" w:rsidP="00186B3F">
                  <w:pPr>
                    <w:suppressLineNumbers/>
                    <w:spacing w:after="120" w:line="360" w:lineRule="auto"/>
                    <w:rPr>
                      <w:rFonts w:ascii="David" w:hAnsi="David"/>
                      <w:b/>
                      <w:bCs/>
                      <w:sz w:val="26"/>
                      <w:szCs w:val="26"/>
                      <w:rtl/>
                    </w:rPr>
                  </w:pPr>
                  <w:r>
                    <w:rPr>
                      <w:rFonts w:ascii="David" w:hAnsi="David"/>
                      <w:b/>
                      <w:bCs/>
                      <w:sz w:val="26"/>
                      <w:szCs w:val="26"/>
                      <w:rtl/>
                    </w:rPr>
                    <w:t xml:space="preserve">גב' </w:t>
                  </w:r>
                  <w:r w:rsidR="00186B3F">
                    <w:rPr>
                      <w:rFonts w:ascii="David" w:hAnsi="David" w:hint="cs"/>
                      <w:b/>
                      <w:bCs/>
                      <w:sz w:val="26"/>
                      <w:szCs w:val="26"/>
                      <w:rtl/>
                    </w:rPr>
                    <w:t>ק. ל. א</w:t>
                  </w:r>
                  <w:r>
                    <w:rPr>
                      <w:rFonts w:ascii="David" w:hAnsi="David"/>
                      <w:b/>
                      <w:bCs/>
                      <w:sz w:val="26"/>
                      <w:szCs w:val="26"/>
                      <w:rtl/>
                    </w:rPr>
                    <w:t xml:space="preserve"> (להלן: "האם")</w:t>
                  </w:r>
                </w:p>
                <w:p w:rsidR="004071E5" w:rsidRDefault="004071E5" w:rsidP="00CF0429">
                  <w:pPr>
                    <w:suppressLineNumbers/>
                    <w:spacing w:after="120" w:line="360" w:lineRule="auto"/>
                    <w:rPr>
                      <w:rFonts w:ascii="David" w:hAnsi="David"/>
                      <w:b/>
                      <w:bCs/>
                      <w:sz w:val="26"/>
                      <w:szCs w:val="26"/>
                      <w:rtl/>
                    </w:rPr>
                  </w:pPr>
                </w:p>
                <w:p w:rsidR="00CF0429" w:rsidRDefault="00186B3F" w:rsidP="00CF0429">
                  <w:pPr>
                    <w:suppressLineNumbers/>
                    <w:spacing w:after="120" w:line="360" w:lineRule="auto"/>
                    <w:rPr>
                      <w:rFonts w:ascii="David" w:hAnsi="David"/>
                      <w:b/>
                      <w:bCs/>
                      <w:sz w:val="26"/>
                      <w:szCs w:val="26"/>
                      <w:rtl/>
                    </w:rPr>
                  </w:pPr>
                  <w:r>
                    <w:rPr>
                      <w:rFonts w:ascii="David" w:hAnsi="David" w:hint="cs"/>
                      <w:b/>
                      <w:bCs/>
                      <w:sz w:val="26"/>
                      <w:szCs w:val="26"/>
                      <w:rtl/>
                    </w:rPr>
                    <w:t>ש. א</w:t>
                  </w:r>
                </w:p>
                <w:p w:rsidR="00CF0429" w:rsidRDefault="00CF0429" w:rsidP="00CF0429">
                  <w:pPr>
                    <w:suppressLineNumbers/>
                    <w:spacing w:after="120" w:line="360" w:lineRule="auto"/>
                    <w:rPr>
                      <w:rFonts w:ascii="David" w:hAnsi="David"/>
                      <w:b/>
                      <w:bCs/>
                      <w:sz w:val="26"/>
                      <w:szCs w:val="26"/>
                      <w:rtl/>
                    </w:rPr>
                  </w:pPr>
                  <w:r>
                    <w:rPr>
                      <w:rFonts w:ascii="David" w:hAnsi="David"/>
                      <w:b/>
                      <w:bCs/>
                      <w:sz w:val="26"/>
                      <w:szCs w:val="26"/>
                      <w:rtl/>
                    </w:rPr>
                    <w:t>ע"י ב"כ עוה"ד צילה טמיר</w:t>
                  </w:r>
                </w:p>
                <w:p w:rsidR="00CF0429" w:rsidRDefault="00CF0429" w:rsidP="00CF0429">
                  <w:pPr>
                    <w:suppressLineNumbers/>
                    <w:spacing w:after="120" w:line="360" w:lineRule="auto"/>
                    <w:rPr>
                      <w:rFonts w:ascii="David" w:hAnsi="David"/>
                      <w:b/>
                      <w:bCs/>
                      <w:sz w:val="26"/>
                      <w:szCs w:val="26"/>
                      <w:rtl/>
                    </w:rPr>
                  </w:pPr>
                </w:p>
              </w:tc>
            </w:tr>
            <w:tr w:rsidR="00CF0429" w:rsidTr="00CF0429">
              <w:trPr>
                <w:jc w:val="center"/>
              </w:trPr>
              <w:tc>
                <w:tcPr>
                  <w:tcW w:w="10308" w:type="dxa"/>
                  <w:gridSpan w:val="4"/>
                </w:tcPr>
                <w:p w:rsidR="00CF0429" w:rsidRDefault="00CF0429" w:rsidP="00CF0429">
                  <w:pPr>
                    <w:suppressLineNumbers/>
                    <w:spacing w:after="120" w:line="360" w:lineRule="auto"/>
                    <w:jc w:val="both"/>
                    <w:rPr>
                      <w:rFonts w:ascii="David" w:hAnsi="David"/>
                      <w:b/>
                      <w:bCs/>
                      <w:sz w:val="26"/>
                      <w:szCs w:val="26"/>
                    </w:rPr>
                  </w:pPr>
                  <w:r>
                    <w:rPr>
                      <w:rFonts w:ascii="David" w:hAnsi="David"/>
                      <w:b/>
                      <w:bCs/>
                      <w:sz w:val="26"/>
                      <w:szCs w:val="26"/>
                      <w:rtl/>
                    </w:rPr>
                    <w:t xml:space="preserve">                                                             נגד</w:t>
                  </w:r>
                </w:p>
                <w:p w:rsidR="00CF0429" w:rsidRDefault="00CF0429" w:rsidP="00CF0429">
                  <w:pPr>
                    <w:suppressLineNumbers/>
                    <w:spacing w:after="120" w:line="360" w:lineRule="auto"/>
                    <w:jc w:val="center"/>
                    <w:rPr>
                      <w:rFonts w:ascii="David" w:hAnsi="David"/>
                      <w:b/>
                      <w:bCs/>
                      <w:sz w:val="26"/>
                      <w:szCs w:val="26"/>
                      <w:rtl/>
                    </w:rPr>
                  </w:pPr>
                </w:p>
              </w:tc>
            </w:tr>
            <w:tr w:rsidR="00CF0429" w:rsidTr="00CF0429">
              <w:trPr>
                <w:trHeight w:val="1620"/>
                <w:jc w:val="center"/>
              </w:trPr>
              <w:tc>
                <w:tcPr>
                  <w:tcW w:w="3074" w:type="dxa"/>
                  <w:gridSpan w:val="2"/>
                  <w:hideMark/>
                </w:tcPr>
                <w:p w:rsidR="00CF0429" w:rsidRDefault="00CF0429" w:rsidP="00CF0429">
                  <w:pPr>
                    <w:suppressLineNumbers/>
                    <w:spacing w:after="120" w:line="360" w:lineRule="auto"/>
                    <w:ind w:firstLine="955"/>
                    <w:rPr>
                      <w:rFonts w:ascii="David" w:hAnsi="David"/>
                      <w:b/>
                      <w:bCs/>
                      <w:sz w:val="26"/>
                      <w:szCs w:val="26"/>
                    </w:rPr>
                  </w:pPr>
                  <w:r>
                    <w:rPr>
                      <w:rFonts w:ascii="David" w:hAnsi="David"/>
                      <w:b/>
                      <w:bCs/>
                      <w:sz w:val="26"/>
                      <w:szCs w:val="26"/>
                      <w:rtl/>
                    </w:rPr>
                    <w:t>המשיבים</w:t>
                  </w:r>
                  <w:r>
                    <w:rPr>
                      <w:rFonts w:ascii="David" w:hAnsi="David"/>
                      <w:b/>
                      <w:bCs/>
                      <w:sz w:val="26"/>
                      <w:szCs w:val="26"/>
                      <w:rtl/>
                    </w:rPr>
                    <w:br/>
                  </w:r>
                  <w:r>
                    <w:rPr>
                      <w:rFonts w:ascii="David" w:hAnsi="David"/>
                      <w:b/>
                      <w:bCs/>
                      <w:sz w:val="26"/>
                      <w:szCs w:val="26"/>
                      <w:rtl/>
                    </w:rPr>
                    <w:br/>
                  </w:r>
                  <w:r>
                    <w:rPr>
                      <w:rFonts w:ascii="David" w:hAnsi="David"/>
                      <w:b/>
                      <w:bCs/>
                      <w:sz w:val="26"/>
                      <w:szCs w:val="26"/>
                      <w:rtl/>
                    </w:rPr>
                    <w:br/>
                  </w:r>
                </w:p>
              </w:tc>
              <w:tc>
                <w:tcPr>
                  <w:tcW w:w="7234" w:type="dxa"/>
                  <w:gridSpan w:val="2"/>
                </w:tcPr>
                <w:p w:rsidR="00CF0429" w:rsidRDefault="00CF0429" w:rsidP="00186B3F">
                  <w:pPr>
                    <w:suppressLineNumbers/>
                    <w:spacing w:after="120" w:line="360" w:lineRule="auto"/>
                    <w:rPr>
                      <w:rFonts w:ascii="David" w:hAnsi="David"/>
                      <w:b/>
                      <w:bCs/>
                      <w:sz w:val="26"/>
                      <w:szCs w:val="26"/>
                    </w:rPr>
                  </w:pPr>
                  <w:r>
                    <w:rPr>
                      <w:rFonts w:ascii="David" w:hAnsi="David"/>
                      <w:b/>
                      <w:bCs/>
                      <w:sz w:val="26"/>
                      <w:szCs w:val="26"/>
                      <w:rtl/>
                    </w:rPr>
                    <w:t xml:space="preserve">1. </w:t>
                  </w:r>
                  <w:r w:rsidR="00186B3F">
                    <w:rPr>
                      <w:rFonts w:ascii="David" w:hAnsi="David" w:hint="cs"/>
                      <w:b/>
                      <w:bCs/>
                      <w:sz w:val="26"/>
                      <w:szCs w:val="26"/>
                      <w:rtl/>
                    </w:rPr>
                    <w:t>ע. א</w:t>
                  </w:r>
                  <w:r>
                    <w:rPr>
                      <w:rFonts w:ascii="David" w:hAnsi="David"/>
                      <w:b/>
                      <w:bCs/>
                      <w:sz w:val="26"/>
                      <w:szCs w:val="26"/>
                      <w:rtl/>
                    </w:rPr>
                    <w:t xml:space="preserve"> </w:t>
                  </w:r>
                </w:p>
                <w:p w:rsidR="00CF0429" w:rsidRDefault="00CF0429" w:rsidP="00186B3F">
                  <w:pPr>
                    <w:suppressLineNumbers/>
                    <w:spacing w:after="120" w:line="360" w:lineRule="auto"/>
                    <w:rPr>
                      <w:rFonts w:ascii="David" w:hAnsi="David"/>
                      <w:b/>
                      <w:bCs/>
                      <w:sz w:val="26"/>
                      <w:szCs w:val="26"/>
                      <w:rtl/>
                    </w:rPr>
                  </w:pPr>
                  <w:r>
                    <w:rPr>
                      <w:rFonts w:ascii="David" w:hAnsi="David"/>
                      <w:b/>
                      <w:bCs/>
                      <w:sz w:val="26"/>
                      <w:szCs w:val="26"/>
                      <w:rtl/>
                    </w:rPr>
                    <w:t xml:space="preserve">2. </w:t>
                  </w:r>
                  <w:r w:rsidR="00186B3F">
                    <w:rPr>
                      <w:rFonts w:ascii="David" w:hAnsi="David" w:hint="cs"/>
                      <w:b/>
                      <w:bCs/>
                      <w:sz w:val="26"/>
                      <w:szCs w:val="26"/>
                      <w:rtl/>
                    </w:rPr>
                    <w:t>מ. א. ל</w:t>
                  </w:r>
                  <w:r>
                    <w:rPr>
                      <w:rFonts w:ascii="David" w:hAnsi="David"/>
                      <w:b/>
                      <w:bCs/>
                      <w:sz w:val="26"/>
                      <w:szCs w:val="26"/>
                      <w:rtl/>
                    </w:rPr>
                    <w:t xml:space="preserve"> </w:t>
                  </w:r>
                </w:p>
                <w:p w:rsidR="00CF0429" w:rsidRDefault="00CF0429" w:rsidP="00CF0429">
                  <w:pPr>
                    <w:suppressLineNumbers/>
                    <w:spacing w:after="120" w:line="360" w:lineRule="auto"/>
                    <w:rPr>
                      <w:rFonts w:ascii="David" w:hAnsi="David"/>
                      <w:b/>
                      <w:bCs/>
                      <w:sz w:val="26"/>
                      <w:szCs w:val="26"/>
                      <w:rtl/>
                    </w:rPr>
                  </w:pPr>
                  <w:r>
                    <w:rPr>
                      <w:rFonts w:ascii="David" w:hAnsi="David"/>
                      <w:b/>
                      <w:bCs/>
                      <w:sz w:val="26"/>
                      <w:szCs w:val="26"/>
                      <w:rtl/>
                    </w:rPr>
                    <w:t>שניהם ע"י ב"כ עוה"ד ענבל כספי גאון</w:t>
                  </w:r>
                </w:p>
              </w:tc>
            </w:tr>
          </w:tbl>
          <w:p w:rsidR="00CF6BB7" w:rsidRDefault="00CF6BB7" w:rsidP="00D44968">
            <w:pPr>
              <w:suppressLineNumbers/>
              <w:rPr>
                <w:rtl/>
              </w:rPr>
            </w:pPr>
          </w:p>
        </w:tc>
      </w:tr>
      <w:tr w:rsidR="004C17EE" w:rsidTr="00CF0429">
        <w:trPr>
          <w:jc w:val="center"/>
        </w:trPr>
        <w:tc>
          <w:tcPr>
            <w:tcW w:w="10524" w:type="dxa"/>
            <w:gridSpan w:val="2"/>
          </w:tcPr>
          <w:p w:rsidR="00AA0F05" w:rsidRDefault="00AA0F05">
            <w:pPr>
              <w:suppressLineNumbers/>
              <w:rPr>
                <w:rFonts w:ascii="Arial" w:hAnsi="Arial"/>
                <w:b/>
                <w:bCs/>
                <w:noProof w:val="0"/>
                <w:sz w:val="26"/>
                <w:szCs w:val="26"/>
                <w:rtl/>
              </w:rPr>
            </w:pPr>
          </w:p>
        </w:tc>
      </w:tr>
      <w:tr w:rsidR="00694556" w:rsidRPr="00DE1E7D" w:rsidTr="00CF0429">
        <w:trPr>
          <w:gridAfter w:val="1"/>
          <w:wAfter w:w="1704" w:type="dxa"/>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F0429" w:rsidRDefault="00CF0429" w:rsidP="00CF0429">
      <w:pPr>
        <w:spacing w:after="120" w:line="360" w:lineRule="auto"/>
        <w:ind w:left="720" w:hanging="720"/>
        <w:jc w:val="both"/>
        <w:rPr>
          <w:rFonts w:ascii="David" w:hAnsi="David"/>
          <w:noProof w:val="0"/>
        </w:rPr>
      </w:pPr>
      <w:bookmarkStart w:id="1" w:name="NGCSBookmark"/>
      <w:bookmarkEnd w:id="1"/>
      <w:r>
        <w:rPr>
          <w:rFonts w:ascii="David" w:hAnsi="David" w:hint="cs"/>
          <w:rtl/>
        </w:rPr>
        <w:t>1</w:t>
      </w:r>
      <w:r>
        <w:rPr>
          <w:rFonts w:ascii="David" w:hAnsi="David"/>
          <w:rtl/>
        </w:rPr>
        <w:t>.</w:t>
      </w:r>
      <w:r>
        <w:rPr>
          <w:rFonts w:ascii="David" w:hAnsi="David"/>
          <w:rtl/>
        </w:rPr>
        <w:tab/>
        <w:t>עסקינן בבקשת רשות ערעור על החלטת בית משפט לענייני משפחה בקריות (כב' השופטת מאיה לוי) מיום 31.1.2023 בתיק תמ"ש 53685-01-23 (להלן: "</w:t>
      </w:r>
      <w:r>
        <w:rPr>
          <w:rFonts w:ascii="David" w:hAnsi="David"/>
          <w:b/>
          <w:bCs/>
          <w:rtl/>
        </w:rPr>
        <w:t>ההחלטה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בבקשה לצו מניעה זמני שהוגש</w:t>
      </w:r>
      <w:r w:rsidR="004071E5">
        <w:rPr>
          <w:rFonts w:ascii="David" w:hAnsi="David" w:hint="cs"/>
          <w:rtl/>
        </w:rPr>
        <w:t>ה</w:t>
      </w:r>
      <w:r>
        <w:rPr>
          <w:rFonts w:ascii="David" w:hAnsi="David"/>
          <w:rtl/>
        </w:rPr>
        <w:t xml:space="preserve"> במעמד צד אחד, במסגרתה קבעה כי ייכנס לתוקף צו הדדי במסגרתו ייאסר על מי מהצדדים להיכנס לבית האם משעה 22:00 עד שעה 9:00 למחרת, והכל פי שיפורט להלן.</w:t>
      </w:r>
    </w:p>
    <w:p w:rsidR="00CF0429" w:rsidRDefault="00CF0429" w:rsidP="00CF0429">
      <w:pPr>
        <w:spacing w:after="120" w:line="360" w:lineRule="auto"/>
        <w:jc w:val="both"/>
        <w:rPr>
          <w:rFonts w:ascii="David" w:hAnsi="David"/>
          <w:b/>
          <w:bCs/>
          <w:u w:val="single"/>
          <w:rtl/>
        </w:rPr>
      </w:pPr>
    </w:p>
    <w:p w:rsidR="00CF0429" w:rsidRDefault="00CF0429" w:rsidP="00CF0429">
      <w:pPr>
        <w:spacing w:after="120" w:line="360" w:lineRule="auto"/>
        <w:rPr>
          <w:rFonts w:ascii="David" w:hAnsi="David"/>
          <w:b/>
          <w:bCs/>
          <w:u w:val="single"/>
          <w:rtl/>
        </w:rPr>
      </w:pPr>
      <w:r>
        <w:rPr>
          <w:rFonts w:ascii="David" w:hAnsi="David"/>
          <w:b/>
          <w:bCs/>
          <w:u w:val="single"/>
          <w:rtl/>
        </w:rPr>
        <w:t>רקע בזעיר אנפין</w:t>
      </w:r>
    </w:p>
    <w:p w:rsidR="00CF0429" w:rsidRDefault="00CF0429" w:rsidP="004071E5">
      <w:pPr>
        <w:spacing w:after="120" w:line="360" w:lineRule="auto"/>
        <w:ind w:left="720" w:hanging="720"/>
        <w:jc w:val="both"/>
        <w:rPr>
          <w:rFonts w:ascii="David" w:hAnsi="David"/>
          <w:rtl/>
        </w:rPr>
      </w:pPr>
      <w:r>
        <w:rPr>
          <w:rFonts w:ascii="David" w:hAnsi="David"/>
          <w:rtl/>
        </w:rPr>
        <w:t>2.</w:t>
      </w:r>
      <w:r>
        <w:rPr>
          <w:rFonts w:ascii="David" w:hAnsi="David"/>
          <w:rtl/>
        </w:rPr>
        <w:tab/>
      </w:r>
      <w:r w:rsidR="004071E5">
        <w:rPr>
          <w:rFonts w:ascii="David" w:hAnsi="David" w:hint="cs"/>
          <w:rtl/>
        </w:rPr>
        <w:t>האם,</w:t>
      </w:r>
      <w:r>
        <w:rPr>
          <w:rFonts w:ascii="David" w:hAnsi="David"/>
          <w:rtl/>
        </w:rPr>
        <w:t xml:space="preserve"> בת 82, במצב בריאותי לא תקין, אושפזה לפרקים לטיפול בבית החולים ונכון למועד הגשת רשות הערעור נמצאת בביתה ומטופלת על ידי מטפלת צמודה.</w:t>
      </w:r>
    </w:p>
    <w:p w:rsidR="00CF0429" w:rsidRDefault="00CF0429" w:rsidP="00834ACB">
      <w:pPr>
        <w:spacing w:after="120" w:line="360" w:lineRule="auto"/>
        <w:ind w:left="720" w:hanging="720"/>
        <w:jc w:val="both"/>
        <w:rPr>
          <w:rFonts w:ascii="David" w:hAnsi="David"/>
          <w:rtl/>
        </w:rPr>
      </w:pPr>
      <w:r>
        <w:rPr>
          <w:rFonts w:ascii="David" w:hAnsi="David"/>
          <w:rtl/>
        </w:rPr>
        <w:t>3.</w:t>
      </w:r>
      <w:r>
        <w:rPr>
          <w:rFonts w:ascii="David" w:hAnsi="David"/>
          <w:rtl/>
        </w:rPr>
        <w:tab/>
      </w:r>
      <w:r w:rsidR="00834ACB">
        <w:rPr>
          <w:rFonts w:ascii="David" w:hAnsi="David" w:hint="cs"/>
          <w:rtl/>
        </w:rPr>
        <w:t>ע. א</w:t>
      </w:r>
      <w:r>
        <w:rPr>
          <w:rFonts w:ascii="David" w:hAnsi="David"/>
          <w:rtl/>
        </w:rPr>
        <w:t xml:space="preserve"> (להלן: "</w:t>
      </w:r>
      <w:r w:rsidR="005132D7">
        <w:rPr>
          <w:rFonts w:ascii="David" w:hAnsi="David" w:hint="cs"/>
          <w:b/>
          <w:bCs/>
          <w:rtl/>
        </w:rPr>
        <w:t>ע'</w:t>
      </w:r>
      <w:r>
        <w:rPr>
          <w:rFonts w:ascii="David" w:hAnsi="David"/>
          <w:rtl/>
        </w:rPr>
        <w:t xml:space="preserve">"), </w:t>
      </w:r>
      <w:r w:rsidR="00834ACB">
        <w:rPr>
          <w:rFonts w:ascii="David" w:hAnsi="David" w:hint="cs"/>
          <w:rtl/>
        </w:rPr>
        <w:t>מ. א.ל</w:t>
      </w:r>
      <w:r>
        <w:rPr>
          <w:rFonts w:ascii="David" w:hAnsi="David"/>
          <w:rtl/>
        </w:rPr>
        <w:t xml:space="preserve"> (להלן: "</w:t>
      </w:r>
      <w:r w:rsidR="005132D7">
        <w:rPr>
          <w:rFonts w:ascii="David" w:hAnsi="David" w:hint="cs"/>
          <w:b/>
          <w:bCs/>
          <w:rtl/>
        </w:rPr>
        <w:t>מ'</w:t>
      </w:r>
      <w:r w:rsidR="00834ACB">
        <w:rPr>
          <w:rFonts w:ascii="David" w:hAnsi="David"/>
          <w:rtl/>
        </w:rPr>
        <w:t>") ו</w:t>
      </w:r>
      <w:r w:rsidR="00834ACB">
        <w:rPr>
          <w:rFonts w:ascii="David" w:hAnsi="David" w:hint="cs"/>
          <w:rtl/>
        </w:rPr>
        <w:t>- ש. א</w:t>
      </w:r>
      <w:r>
        <w:rPr>
          <w:rFonts w:ascii="David" w:hAnsi="David"/>
          <w:rtl/>
        </w:rPr>
        <w:t xml:space="preserve"> (להלן: "</w:t>
      </w:r>
      <w:r w:rsidR="00834ACB">
        <w:rPr>
          <w:rFonts w:ascii="David" w:hAnsi="David"/>
          <w:b/>
          <w:bCs/>
          <w:rtl/>
        </w:rPr>
        <w:t>ש</w:t>
      </w:r>
      <w:r w:rsidR="00834ACB">
        <w:rPr>
          <w:rFonts w:ascii="David" w:hAnsi="David" w:hint="cs"/>
          <w:b/>
          <w:bCs/>
          <w:rtl/>
        </w:rPr>
        <w:t>'</w:t>
      </w:r>
      <w:r w:rsidR="00834ACB" w:rsidRPr="00834ACB">
        <w:rPr>
          <w:rFonts w:ascii="David" w:hAnsi="David" w:hint="cs"/>
          <w:rtl/>
        </w:rPr>
        <w:t>")</w:t>
      </w:r>
      <w:r w:rsidRPr="00834ACB">
        <w:rPr>
          <w:rFonts w:ascii="David" w:hAnsi="David"/>
          <w:rtl/>
        </w:rPr>
        <w:t xml:space="preserve"> </w:t>
      </w:r>
      <w:r>
        <w:rPr>
          <w:rFonts w:ascii="David" w:hAnsi="David"/>
          <w:rtl/>
        </w:rPr>
        <w:t xml:space="preserve">הם ילדיה של </w:t>
      </w:r>
      <w:r w:rsidR="004071E5">
        <w:rPr>
          <w:rFonts w:ascii="David" w:hAnsi="David" w:hint="cs"/>
          <w:rtl/>
        </w:rPr>
        <w:t>האם.</w:t>
      </w:r>
    </w:p>
    <w:p w:rsidR="00CF0429" w:rsidRDefault="00CF0429" w:rsidP="00CF0429">
      <w:pPr>
        <w:spacing w:after="120" w:line="360" w:lineRule="auto"/>
        <w:ind w:left="720" w:hanging="720"/>
        <w:jc w:val="both"/>
        <w:rPr>
          <w:rFonts w:ascii="David" w:hAnsi="David"/>
          <w:rtl/>
        </w:rPr>
      </w:pPr>
      <w:r>
        <w:rPr>
          <w:rFonts w:ascii="David" w:hAnsi="David"/>
          <w:rtl/>
        </w:rPr>
        <w:t>4.</w:t>
      </w:r>
      <w:r>
        <w:rPr>
          <w:rFonts w:ascii="David" w:hAnsi="David"/>
          <w:rtl/>
        </w:rPr>
        <w:tab/>
        <w:t>בשנת 2018 חתמה האם על ייפוי כוח מתמשך, לפיו היא ממ</w:t>
      </w:r>
      <w:r w:rsidR="005132D7">
        <w:rPr>
          <w:rFonts w:ascii="David" w:hAnsi="David"/>
          <w:rtl/>
        </w:rPr>
        <w:t>נה את ע</w:t>
      </w:r>
      <w:r w:rsidR="005132D7">
        <w:rPr>
          <w:rFonts w:ascii="David" w:hAnsi="David" w:hint="cs"/>
          <w:rtl/>
        </w:rPr>
        <w:t xml:space="preserve">' ו-מ' </w:t>
      </w:r>
      <w:r>
        <w:rPr>
          <w:rFonts w:ascii="David" w:hAnsi="David"/>
          <w:rtl/>
        </w:rPr>
        <w:t xml:space="preserve">(המשיבים) על כלל ענייניה. </w:t>
      </w:r>
    </w:p>
    <w:p w:rsidR="00CF0429" w:rsidRDefault="00CF0429" w:rsidP="005132D7">
      <w:pPr>
        <w:spacing w:after="120" w:line="360" w:lineRule="auto"/>
        <w:ind w:left="720" w:hanging="720"/>
        <w:jc w:val="both"/>
        <w:rPr>
          <w:rFonts w:ascii="David" w:hAnsi="David"/>
          <w:rtl/>
        </w:rPr>
      </w:pPr>
      <w:r>
        <w:rPr>
          <w:rFonts w:ascii="David" w:hAnsi="David"/>
          <w:rtl/>
        </w:rPr>
        <w:lastRenderedPageBreak/>
        <w:tab/>
        <w:t xml:space="preserve">ביום 23.2.22 בשל הידרדרות קוגניטיבית במצבה של האם, מונה </w:t>
      </w:r>
      <w:r w:rsidR="005132D7">
        <w:rPr>
          <w:rFonts w:ascii="David" w:hAnsi="David" w:hint="cs"/>
          <w:rtl/>
        </w:rPr>
        <w:t>ע'</w:t>
      </w:r>
      <w:r>
        <w:rPr>
          <w:rFonts w:ascii="David" w:hAnsi="David"/>
          <w:rtl/>
        </w:rPr>
        <w:t xml:space="preserve"> כמיופה כוח על כלל ענייניה הרכושיים של האם, </w:t>
      </w:r>
      <w:r w:rsidR="005132D7">
        <w:rPr>
          <w:rFonts w:ascii="David" w:hAnsi="David" w:hint="cs"/>
          <w:rtl/>
        </w:rPr>
        <w:t>ו-מ'</w:t>
      </w:r>
      <w:r>
        <w:rPr>
          <w:rFonts w:ascii="David" w:hAnsi="David"/>
          <w:rtl/>
        </w:rPr>
        <w:t xml:space="preserve"> על ענייניה הרפואיים. המשיבים אף צורפו לחשבון הבנק של האם בהתאם לייפוי הכוח המתמשך. </w:t>
      </w:r>
    </w:p>
    <w:p w:rsidR="00CF0429" w:rsidRDefault="00CF0429" w:rsidP="00CF0429">
      <w:pPr>
        <w:spacing w:after="120" w:line="360" w:lineRule="auto"/>
        <w:ind w:left="720" w:hanging="720"/>
        <w:jc w:val="both"/>
        <w:rPr>
          <w:rFonts w:ascii="David" w:hAnsi="David"/>
          <w:rtl/>
        </w:rPr>
      </w:pPr>
      <w:r>
        <w:rPr>
          <w:rFonts w:ascii="David" w:hAnsi="David"/>
          <w:rtl/>
        </w:rPr>
        <w:t>5.</w:t>
      </w:r>
      <w:r>
        <w:rPr>
          <w:rFonts w:ascii="David" w:hAnsi="David"/>
          <w:rtl/>
        </w:rPr>
        <w:tab/>
        <w:t>ביום 6.3.22 הגישו המשיבים תביעה לסכום כסף קצוב, בין היתר אף נגד המבקש, ועתרו לגריעת המבקש מחשבון הבנק של האם בטענה לשימוש לרעה וניצול כוחו, וכן לתשלום פיצויים והוצאות למשיבים, בסך כולל של כ-80,000 ₪ (תמ"ש 9831-03-22, להלן: "</w:t>
      </w:r>
      <w:r>
        <w:rPr>
          <w:rFonts w:ascii="David" w:hAnsi="David"/>
          <w:b/>
          <w:bCs/>
          <w:rtl/>
        </w:rPr>
        <w:t>התביעה</w:t>
      </w:r>
      <w:r>
        <w:rPr>
          <w:rFonts w:ascii="David" w:hAnsi="David"/>
          <w:rtl/>
        </w:rPr>
        <w:t xml:space="preserve"> </w:t>
      </w:r>
      <w:r>
        <w:rPr>
          <w:rFonts w:ascii="David" w:hAnsi="David"/>
          <w:b/>
          <w:bCs/>
          <w:rtl/>
        </w:rPr>
        <w:t>הכספית</w:t>
      </w:r>
      <w:r>
        <w:rPr>
          <w:rFonts w:ascii="David" w:hAnsi="David"/>
          <w:rtl/>
        </w:rPr>
        <w:t xml:space="preserve">"). </w:t>
      </w:r>
    </w:p>
    <w:p w:rsidR="00CF0429" w:rsidRDefault="00CF0429" w:rsidP="00CF0429">
      <w:pPr>
        <w:spacing w:after="120" w:line="360" w:lineRule="auto"/>
        <w:ind w:left="720" w:hanging="720"/>
        <w:jc w:val="both"/>
        <w:rPr>
          <w:rFonts w:ascii="David" w:hAnsi="David"/>
          <w:rtl/>
        </w:rPr>
      </w:pPr>
      <w:r>
        <w:rPr>
          <w:rFonts w:ascii="David" w:hAnsi="David"/>
          <w:rtl/>
        </w:rPr>
        <w:t>6.</w:t>
      </w:r>
      <w:r>
        <w:rPr>
          <w:rFonts w:ascii="David" w:hAnsi="David"/>
          <w:rtl/>
        </w:rPr>
        <w:tab/>
        <w:t xml:space="preserve">במסגרת התביעה הכספית, הגישו המשיבים בקשה למתן סעד זמני, במסגרתו התבקש צו שיורה למבקש לחדול מלהגיע לבית האם החל מהשעה 21:30 עד השעה 9:00 בבוקר למחרת, בטענה כי מטריד את האם במהלך שנתה ואת המטפלת. </w:t>
      </w:r>
    </w:p>
    <w:p w:rsidR="00CF0429" w:rsidRDefault="00CF0429" w:rsidP="00ED3A16">
      <w:pPr>
        <w:spacing w:after="120" w:line="360" w:lineRule="auto"/>
        <w:ind w:left="720" w:hanging="720"/>
        <w:jc w:val="both"/>
        <w:rPr>
          <w:rFonts w:ascii="David" w:hAnsi="David"/>
          <w:rtl/>
        </w:rPr>
      </w:pPr>
      <w:r>
        <w:rPr>
          <w:rFonts w:ascii="David" w:hAnsi="David"/>
          <w:rtl/>
        </w:rPr>
        <w:t>7.</w:t>
      </w:r>
      <w:r>
        <w:rPr>
          <w:rFonts w:ascii="David" w:hAnsi="David"/>
          <w:rtl/>
        </w:rPr>
        <w:tab/>
        <w:t>המבקש טען בתגובה כי הוא גר בצמידות לאם, האם מעוניינת שיבקר אותה בכל רגע נתון, נוהג להגיע בערבים</w:t>
      </w:r>
      <w:r w:rsidR="00ED3A16">
        <w:rPr>
          <w:rFonts w:ascii="David" w:hAnsi="David" w:hint="cs"/>
          <w:rtl/>
        </w:rPr>
        <w:t xml:space="preserve"> לנוכח עבודתו</w:t>
      </w:r>
      <w:r>
        <w:rPr>
          <w:rFonts w:ascii="David" w:hAnsi="David"/>
          <w:rtl/>
        </w:rPr>
        <w:t xml:space="preserve"> ולבלות עם אמו </w:t>
      </w:r>
      <w:r w:rsidR="00ED3A16">
        <w:rPr>
          <w:rFonts w:ascii="David" w:hAnsi="David" w:hint="cs"/>
          <w:rtl/>
        </w:rPr>
        <w:t>תוך שהוא מטפל</w:t>
      </w:r>
      <w:r>
        <w:rPr>
          <w:rFonts w:ascii="David" w:hAnsi="David"/>
          <w:rtl/>
        </w:rPr>
        <w:t xml:space="preserve"> בה במסירות. </w:t>
      </w:r>
    </w:p>
    <w:p w:rsidR="00CF0429" w:rsidRDefault="00CF0429" w:rsidP="00CF0429">
      <w:pPr>
        <w:spacing w:after="120" w:line="360" w:lineRule="auto"/>
        <w:ind w:left="720" w:hanging="720"/>
        <w:jc w:val="both"/>
        <w:rPr>
          <w:rFonts w:ascii="David" w:hAnsi="David"/>
          <w:rtl/>
        </w:rPr>
      </w:pPr>
      <w:r>
        <w:rPr>
          <w:rFonts w:ascii="David" w:hAnsi="David"/>
          <w:rtl/>
        </w:rPr>
        <w:t>8.</w:t>
      </w:r>
      <w:r>
        <w:rPr>
          <w:rFonts w:ascii="David" w:hAnsi="David"/>
          <w:rtl/>
        </w:rPr>
        <w:tab/>
        <w:t>לאחר שעי</w:t>
      </w:r>
      <w:r w:rsidR="00ED3A16">
        <w:rPr>
          <w:rFonts w:ascii="David" w:hAnsi="David" w:hint="cs"/>
          <w:rtl/>
        </w:rPr>
        <w:t>י</w:t>
      </w:r>
      <w:r>
        <w:rPr>
          <w:rFonts w:ascii="David" w:hAnsi="David"/>
          <w:rtl/>
        </w:rPr>
        <w:t>ן בעמדות הצדדים, הציע בית המשפט קמא קמא ביום 15.11.22 לתת צו הדדי "</w:t>
      </w:r>
      <w:r>
        <w:rPr>
          <w:rFonts w:ascii="David" w:hAnsi="David"/>
          <w:b/>
          <w:bCs/>
          <w:rtl/>
        </w:rPr>
        <w:t>לשם הרגעת הרוחות</w:t>
      </w:r>
      <w:r>
        <w:rPr>
          <w:rFonts w:ascii="David" w:hAnsi="David"/>
          <w:rtl/>
        </w:rPr>
        <w:t xml:space="preserve">", במסגרתו ייאסר על מי מילדיה של האם להיכנס לביתה מהשעה 22:00 עד השעה 9:00. </w:t>
      </w:r>
    </w:p>
    <w:p w:rsidR="00CF0429" w:rsidRDefault="00CF0429" w:rsidP="00CF0429">
      <w:pPr>
        <w:spacing w:after="120" w:line="360" w:lineRule="auto"/>
        <w:ind w:left="720" w:hanging="720"/>
        <w:jc w:val="both"/>
        <w:rPr>
          <w:rFonts w:ascii="David" w:hAnsi="David"/>
          <w:rtl/>
        </w:rPr>
      </w:pPr>
      <w:r>
        <w:rPr>
          <w:rFonts w:ascii="David" w:hAnsi="David"/>
          <w:rtl/>
        </w:rPr>
        <w:t>9.</w:t>
      </w:r>
      <w:r>
        <w:rPr>
          <w:rFonts w:ascii="David" w:hAnsi="David"/>
          <w:rtl/>
        </w:rPr>
        <w:tab/>
        <w:t>המשיבים הסכימו וטענו כי כך נוהגים משך זמן ממושך, מחודש 4/22 עם שובה של האם מאשפוז בביה"ח. המבקש סירב, וחזר על טענותיו כי נוהג לבקר את אמו מדי יום וליל, מארח לה חברה, סועד אותה, מבשל לה וצופה עמה בטלוויזיה, וכי אין מקום להטיל מגבלות על הגעתו לבית אמו בניגוד לרצונה.</w:t>
      </w:r>
    </w:p>
    <w:p w:rsidR="00CF0429" w:rsidRDefault="00CF0429" w:rsidP="00CF0429">
      <w:pPr>
        <w:spacing w:after="120" w:line="360" w:lineRule="auto"/>
        <w:ind w:left="720" w:hanging="720"/>
        <w:jc w:val="both"/>
        <w:rPr>
          <w:rFonts w:ascii="David" w:hAnsi="David"/>
          <w:rtl/>
        </w:rPr>
      </w:pPr>
      <w:r>
        <w:rPr>
          <w:rFonts w:ascii="David" w:hAnsi="David"/>
          <w:rtl/>
        </w:rPr>
        <w:t>10.</w:t>
      </w:r>
      <w:r>
        <w:rPr>
          <w:rFonts w:ascii="David" w:hAnsi="David"/>
          <w:rtl/>
        </w:rPr>
        <w:tab/>
        <w:t>לאחר עיון בעמדות הצדדים הורה בית המשפט קמא ביום 21.11.2022 על הטלת צו הדדי האוסר על המבקש והמשיבים להגיע לבית האם מהשעה 22:00 עד למחרת בשעה 9:00, למעט מקרים בהם המטפלת תיזקק לעזרה בעניינים רפואיים, ואז באפשרותה לקרוא למבקש ולאחד מהמשיבים.</w:t>
      </w:r>
    </w:p>
    <w:p w:rsidR="00CF0429" w:rsidRDefault="00CF0429" w:rsidP="00CF0429">
      <w:pPr>
        <w:spacing w:after="120" w:line="360" w:lineRule="auto"/>
        <w:ind w:left="720" w:hanging="720"/>
        <w:jc w:val="both"/>
        <w:rPr>
          <w:rFonts w:ascii="David" w:hAnsi="David"/>
          <w:rtl/>
        </w:rPr>
      </w:pPr>
      <w:r>
        <w:rPr>
          <w:rFonts w:ascii="David" w:hAnsi="David"/>
          <w:rtl/>
        </w:rPr>
        <w:t>11.</w:t>
      </w:r>
      <w:r>
        <w:rPr>
          <w:rFonts w:ascii="David" w:hAnsi="David"/>
          <w:rtl/>
        </w:rPr>
        <w:tab/>
        <w:t>המבקש לא השלים עם מתן הצו ההדדי הנ"ל, וערער על ההחלטה לבית משפט זה (כב' השופט ניצן סילמן, רמ"ש 1512-12-22). בקשת רשות הערעור הנ"ל התקבלה, ובפסק הדין נקבע כי הצו ההדדי מבוטל, מאחר ש"</w:t>
      </w:r>
      <w:r>
        <w:rPr>
          <w:rFonts w:ascii="David" w:hAnsi="David"/>
          <w:b/>
          <w:bCs/>
          <w:rtl/>
        </w:rPr>
        <w:t>הוגשה תביעה כספית, או לפחות כזו העוסקת במישור כספי, ואין בין הסעד הזמני שהתבקש לאסור על המבקש כניסתו לבית האם, לבין הסעד בתיק העיקרי דבר וחצי דבר לקיום הליך יעיל ותקין בתביעה הכספית, ועל כן קיים קושי במתן הסעד</w:t>
      </w:r>
      <w:r>
        <w:rPr>
          <w:rFonts w:ascii="David" w:hAnsi="David"/>
          <w:rtl/>
        </w:rPr>
        <w:t>". עוד נקבע שם, כי "</w:t>
      </w:r>
      <w:r>
        <w:rPr>
          <w:rFonts w:ascii="David" w:hAnsi="David"/>
          <w:b/>
          <w:bCs/>
          <w:rtl/>
        </w:rPr>
        <w:t>על המשיבים היה לנקוט הליך מתאים, מסגרתו ראוי היה לקיים דיון מעמד הצדדים ולשמוע טענותיהם טרם הכרעה</w:t>
      </w:r>
      <w:r>
        <w:rPr>
          <w:rFonts w:ascii="David" w:hAnsi="David"/>
          <w:rtl/>
        </w:rPr>
        <w:t>".</w:t>
      </w:r>
    </w:p>
    <w:p w:rsidR="00CF0429" w:rsidRDefault="00CF0429" w:rsidP="00CF0429">
      <w:pPr>
        <w:spacing w:after="120" w:line="360" w:lineRule="auto"/>
        <w:ind w:left="720" w:hanging="720"/>
        <w:jc w:val="both"/>
        <w:rPr>
          <w:rFonts w:ascii="David" w:hAnsi="David"/>
          <w:rtl/>
        </w:rPr>
      </w:pPr>
      <w:r>
        <w:rPr>
          <w:rFonts w:ascii="David" w:hAnsi="David"/>
          <w:rtl/>
        </w:rPr>
        <w:t>12.</w:t>
      </w:r>
      <w:r>
        <w:rPr>
          <w:rFonts w:ascii="David" w:hAnsi="David"/>
          <w:rtl/>
        </w:rPr>
        <w:tab/>
        <w:t>ביום 22.1.2023 הגישו המשיבים את התובענה קמא (תמ"ש 53685-01-23) למתן צו מניעה, אשר יורה למבקש כאן לחדול מלהגיע לבית האם החל משעה 21:30 ועד למחרת בשעה 9:00. טענת המשיבים היא כי המבקש נוהג בבריונות, מפריע ומטריד את מנוחת האם ואת המטפלת.</w:t>
      </w:r>
    </w:p>
    <w:p w:rsidR="00CF0429" w:rsidRDefault="00CF0429" w:rsidP="00CF0429">
      <w:pPr>
        <w:spacing w:after="120" w:line="360" w:lineRule="auto"/>
        <w:ind w:left="720" w:hanging="720"/>
        <w:jc w:val="both"/>
        <w:rPr>
          <w:rFonts w:ascii="David" w:hAnsi="David"/>
          <w:rtl/>
        </w:rPr>
      </w:pPr>
      <w:r>
        <w:rPr>
          <w:rFonts w:ascii="David" w:hAnsi="David"/>
          <w:rtl/>
        </w:rPr>
        <w:lastRenderedPageBreak/>
        <w:t>13.</w:t>
      </w:r>
      <w:r>
        <w:rPr>
          <w:rFonts w:ascii="David" w:hAnsi="David"/>
          <w:rtl/>
        </w:rPr>
        <w:tab/>
        <w:t>למחרת ביום 23.1.2023 הגישו המשיבים בקשה בתיק קמא, בקשה למתן צו מניעה זמני במעמד צד אחד, אשר יורה למבקש כאן לחדול מלהגיע לבית האם החל משעה 21:30 ועד למחרת בשעה 9:00.</w:t>
      </w:r>
    </w:p>
    <w:p w:rsidR="00CF0429" w:rsidRDefault="00CF0429" w:rsidP="00CF0429">
      <w:pPr>
        <w:spacing w:after="120" w:line="360" w:lineRule="auto"/>
        <w:ind w:left="720" w:hanging="720"/>
        <w:jc w:val="both"/>
        <w:rPr>
          <w:rFonts w:ascii="David" w:hAnsi="David"/>
          <w:rtl/>
        </w:rPr>
      </w:pPr>
      <w:r>
        <w:rPr>
          <w:rFonts w:ascii="David" w:hAnsi="David"/>
          <w:rtl/>
        </w:rPr>
        <w:t>14.</w:t>
      </w:r>
      <w:r>
        <w:rPr>
          <w:rFonts w:ascii="David" w:hAnsi="David"/>
          <w:rtl/>
        </w:rPr>
        <w:tab/>
      </w:r>
      <w:r>
        <w:rPr>
          <w:rFonts w:ascii="David" w:hAnsi="David"/>
          <w:u w:val="single"/>
          <w:rtl/>
        </w:rPr>
        <w:t>בו ביום ניתנה החלטת בית המשפט קמא, כהאי לישנא</w:t>
      </w:r>
      <w:r>
        <w:rPr>
          <w:rFonts w:ascii="David" w:hAnsi="David"/>
          <w:rtl/>
        </w:rPr>
        <w:t>:</w:t>
      </w:r>
    </w:p>
    <w:p w:rsidR="00CF0429" w:rsidRDefault="00CF0429" w:rsidP="00CF0429">
      <w:pPr>
        <w:spacing w:after="120" w:line="360" w:lineRule="auto"/>
        <w:ind w:left="1134" w:right="624" w:firstLine="7"/>
        <w:jc w:val="both"/>
        <w:rPr>
          <w:rFonts w:ascii="David" w:hAnsi="David"/>
          <w:b/>
          <w:bCs/>
          <w:rtl/>
        </w:rPr>
      </w:pPr>
      <w:r>
        <w:rPr>
          <w:rFonts w:ascii="David" w:hAnsi="David"/>
          <w:b/>
          <w:bCs/>
          <w:rtl/>
        </w:rPr>
        <w:t>"1. אין מקום להגיש בקשה למתן צו מניעה זמני במעמד צד אחד, כאשר עניין זה נדון כבר בעבר.</w:t>
      </w:r>
    </w:p>
    <w:p w:rsidR="00CF0429" w:rsidRDefault="00CF0429" w:rsidP="00CF0429">
      <w:pPr>
        <w:spacing w:after="120" w:line="360" w:lineRule="auto"/>
        <w:ind w:left="1134" w:right="624" w:firstLine="7"/>
        <w:jc w:val="both"/>
        <w:rPr>
          <w:rFonts w:ascii="David" w:hAnsi="David"/>
          <w:b/>
          <w:bCs/>
          <w:rtl/>
        </w:rPr>
      </w:pPr>
      <w:r>
        <w:rPr>
          <w:rFonts w:ascii="David" w:hAnsi="David"/>
          <w:b/>
          <w:bCs/>
          <w:rtl/>
        </w:rPr>
        <w:t>2. משהוגשה תובענה מתאימה למתן צו מניעה, ולשם הרגעת הרוחות, יגיש המשיב עמדתו ביחס לאימוץ הצו ההדדי אשר ניתן ביום 21.11.2022 לפרק זמן של 3 חודשים.</w:t>
      </w:r>
    </w:p>
    <w:p w:rsidR="00CF0429" w:rsidRDefault="00CF0429" w:rsidP="004A6150">
      <w:pPr>
        <w:spacing w:after="120" w:line="360" w:lineRule="auto"/>
        <w:ind w:left="1134" w:right="624" w:firstLine="7"/>
        <w:jc w:val="both"/>
        <w:rPr>
          <w:rFonts w:ascii="David" w:hAnsi="David"/>
          <w:b/>
          <w:bCs/>
          <w:rtl/>
        </w:rPr>
      </w:pPr>
      <w:r>
        <w:rPr>
          <w:rFonts w:ascii="David" w:hAnsi="David"/>
          <w:b/>
          <w:bCs/>
          <w:rtl/>
        </w:rPr>
        <w:t xml:space="preserve">3. על המשיב להגיש בתוך 5 ימים תגובה עניינית. בתגובתו, מלבד הטיעונים לפיהם אין למנוע ממנו מלפגוש את אמו האהובה, יתייחס המשיב לכך שההרחקה מכח הצו ההדדי כמוצע, הינה הדדית בשעות בהן הגב' </w:t>
      </w:r>
      <w:r w:rsidR="004A6150">
        <w:rPr>
          <w:rFonts w:ascii="David" w:hAnsi="David" w:hint="cs"/>
          <w:b/>
          <w:bCs/>
          <w:rtl/>
        </w:rPr>
        <w:t xml:space="preserve">ל. א </w:t>
      </w:r>
      <w:r w:rsidR="004A6150" w:rsidRPr="004A6150">
        <w:rPr>
          <w:rFonts w:ascii="David" w:hAnsi="David" w:hint="cs"/>
          <w:rtl/>
        </w:rPr>
        <w:t>(האם, ח"ש)</w:t>
      </w:r>
      <w:r w:rsidRPr="004A6150">
        <w:rPr>
          <w:rFonts w:ascii="David" w:hAnsi="David"/>
          <w:rtl/>
        </w:rPr>
        <w:t xml:space="preserve"> </w:t>
      </w:r>
      <w:r>
        <w:rPr>
          <w:rFonts w:ascii="David" w:hAnsi="David"/>
          <w:b/>
          <w:bCs/>
          <w:rtl/>
        </w:rPr>
        <w:t>ממילא לנה את מנוחת הלילה.</w:t>
      </w:r>
    </w:p>
    <w:p w:rsidR="00CF0429" w:rsidRDefault="00CF0429" w:rsidP="00CF0429">
      <w:pPr>
        <w:spacing w:after="120" w:line="360" w:lineRule="auto"/>
        <w:ind w:left="1134" w:right="624" w:firstLine="7"/>
        <w:jc w:val="both"/>
        <w:rPr>
          <w:rFonts w:ascii="David" w:hAnsi="David"/>
          <w:b/>
          <w:bCs/>
          <w:rtl/>
        </w:rPr>
      </w:pPr>
      <w:r>
        <w:rPr>
          <w:rFonts w:ascii="David" w:hAnsi="David"/>
          <w:b/>
          <w:bCs/>
          <w:rtl/>
        </w:rPr>
        <w:t>4. המזכירות תמציא ההחלטה לצדדים".</w:t>
      </w:r>
    </w:p>
    <w:p w:rsidR="00CF0429" w:rsidRDefault="00CF0429" w:rsidP="00CF0429">
      <w:pPr>
        <w:spacing w:after="120" w:line="360" w:lineRule="auto"/>
        <w:ind w:left="720" w:hanging="720"/>
        <w:jc w:val="both"/>
        <w:rPr>
          <w:rFonts w:ascii="David" w:hAnsi="David"/>
          <w:rtl/>
        </w:rPr>
      </w:pPr>
      <w:r>
        <w:rPr>
          <w:rFonts w:ascii="David" w:hAnsi="David"/>
          <w:rtl/>
        </w:rPr>
        <w:t>15.</w:t>
      </w:r>
      <w:r>
        <w:rPr>
          <w:rFonts w:ascii="David" w:hAnsi="David"/>
          <w:rtl/>
        </w:rPr>
        <w:tab/>
        <w:t xml:space="preserve">ביום 30.1.23 הגיש המבקש את תגובתו לבקשת צו המניעה הזמני, במסגרתה התנגד למתן הצו הזמני וטען, בין היתר, כי אין להיעתר לבקשה לסעד זמני הזהה לסעד העיקרי המבוקש בתיק. כן טען כי האם מעוניינת שיבקר אותה בכל רגע נתון, הוא נוהג להגיע בערבים ולבלות עם אמו ומטפל בה במסירות. </w:t>
      </w:r>
    </w:p>
    <w:p w:rsidR="00CF0429" w:rsidRDefault="00CF0429" w:rsidP="00CF0429">
      <w:pPr>
        <w:spacing w:after="120" w:line="360" w:lineRule="auto"/>
        <w:ind w:left="720" w:hanging="720"/>
        <w:jc w:val="both"/>
        <w:rPr>
          <w:rFonts w:ascii="David" w:hAnsi="David"/>
          <w:rtl/>
        </w:rPr>
      </w:pPr>
      <w:r>
        <w:rPr>
          <w:rFonts w:ascii="David" w:hAnsi="David"/>
          <w:rtl/>
        </w:rPr>
        <w:t>16.</w:t>
      </w:r>
      <w:r>
        <w:rPr>
          <w:rFonts w:ascii="David" w:hAnsi="David"/>
          <w:rtl/>
        </w:rPr>
        <w:tab/>
      </w:r>
      <w:r>
        <w:rPr>
          <w:rFonts w:ascii="David" w:hAnsi="David"/>
          <w:u w:val="single"/>
          <w:rtl/>
        </w:rPr>
        <w:t>ביום 31.1.23 ניתנה ההחלטה קמא כדלקמן (ההדגשות במקור)</w:t>
      </w:r>
      <w:r>
        <w:rPr>
          <w:rFonts w:ascii="David" w:hAnsi="David"/>
          <w:rtl/>
        </w:rPr>
        <w:t>:</w:t>
      </w:r>
    </w:p>
    <w:p w:rsidR="00CF0429" w:rsidRDefault="00CF0429" w:rsidP="00CF0429">
      <w:pPr>
        <w:spacing w:after="120" w:line="360" w:lineRule="auto"/>
        <w:ind w:left="1127" w:right="624" w:firstLine="7"/>
        <w:jc w:val="both"/>
        <w:rPr>
          <w:rFonts w:ascii="David" w:hAnsi="David"/>
          <w:b/>
          <w:bCs/>
          <w:rtl/>
        </w:rPr>
      </w:pPr>
      <w:r>
        <w:rPr>
          <w:rFonts w:ascii="David" w:hAnsi="David"/>
          <w:rtl/>
        </w:rPr>
        <w:t>"</w:t>
      </w:r>
      <w:r>
        <w:rPr>
          <w:rFonts w:ascii="David" w:hAnsi="David"/>
          <w:b/>
          <w:bCs/>
          <w:rtl/>
        </w:rPr>
        <w:t xml:space="preserve">1. משהוגשה תובענה מתאימה, לאחר עיון בעמדות הצדדים ולשם הרגעת הרוחות,  אני מורה על כניסתו לתוקף של הצו הדדי במסגרתו  יאסר על שני הצדדים  </w:t>
      </w:r>
      <w:r w:rsidR="0022051B">
        <w:rPr>
          <w:rFonts w:ascii="David" w:hAnsi="David"/>
          <w:b/>
          <w:bCs/>
          <w:rtl/>
        </w:rPr>
        <w:t xml:space="preserve">להיכנס לבית האם – הגב' </w:t>
      </w:r>
      <w:r w:rsidR="0022051B">
        <w:rPr>
          <w:rFonts w:ascii="David" w:hAnsi="David" w:hint="cs"/>
          <w:b/>
          <w:bCs/>
          <w:rtl/>
        </w:rPr>
        <w:t>ל. א</w:t>
      </w:r>
      <w:r>
        <w:rPr>
          <w:rFonts w:ascii="David" w:hAnsi="David"/>
          <w:b/>
          <w:bCs/>
          <w:rtl/>
        </w:rPr>
        <w:t>, החל מהשעה 22:00 ועד למחרת בשעה 9:00 בבוקר.  יאסר על הצדדים להגיע לבית האם, בין לצרכי טיפול, בין למטרה אחרת, מעבר לשעות הנ"ל.</w:t>
      </w:r>
    </w:p>
    <w:p w:rsidR="00CF0429" w:rsidRDefault="00CF0429" w:rsidP="00CF0429">
      <w:pPr>
        <w:spacing w:after="120" w:line="360" w:lineRule="auto"/>
        <w:ind w:left="1127" w:right="624" w:firstLine="7"/>
        <w:jc w:val="both"/>
        <w:rPr>
          <w:rFonts w:ascii="David" w:hAnsi="David"/>
          <w:b/>
          <w:bCs/>
          <w:rtl/>
        </w:rPr>
      </w:pPr>
      <w:r>
        <w:rPr>
          <w:rFonts w:ascii="David" w:hAnsi="David"/>
          <w:b/>
          <w:bCs/>
          <w:rtl/>
        </w:rPr>
        <w:t xml:space="preserve">2. על אף האמור בסעיף 1,  ככל שהמטפלת של האם תזדקק לעזרה בעניינים הרפואיים והסיעודיים הקשורים לטיפול באם, יהיה באפשרותה לקרוא לצדדים (בעל דין אחד מבין התובעים לצד הנתבע) </w:t>
      </w:r>
      <w:r>
        <w:rPr>
          <w:rFonts w:ascii="David" w:hAnsi="David"/>
          <w:b/>
          <w:bCs/>
          <w:u w:val="single"/>
          <w:rtl/>
        </w:rPr>
        <w:t>במשותף</w:t>
      </w:r>
      <w:r>
        <w:rPr>
          <w:rFonts w:ascii="David" w:hAnsi="David"/>
          <w:b/>
          <w:bCs/>
          <w:rtl/>
        </w:rPr>
        <w:t xml:space="preserve"> כדי לקבל עזרה בטיפול באם.  </w:t>
      </w:r>
      <w:r>
        <w:rPr>
          <w:rFonts w:ascii="David" w:hAnsi="David"/>
          <w:b/>
          <w:bCs/>
          <w:u w:val="single"/>
          <w:rtl/>
        </w:rPr>
        <w:t>הצדדים יעדכנו את המטפלת בעניין החלטה זאת</w:t>
      </w:r>
      <w:r>
        <w:rPr>
          <w:rFonts w:ascii="David" w:hAnsi="David"/>
          <w:b/>
          <w:bCs/>
          <w:rtl/>
        </w:rPr>
        <w:t>.</w:t>
      </w:r>
    </w:p>
    <w:p w:rsidR="00CF0429" w:rsidRDefault="00CF0429" w:rsidP="00CF0429">
      <w:pPr>
        <w:spacing w:after="120" w:line="360" w:lineRule="auto"/>
        <w:ind w:left="1127" w:right="624" w:firstLine="7"/>
        <w:jc w:val="both"/>
        <w:rPr>
          <w:rFonts w:ascii="David" w:hAnsi="David"/>
          <w:b/>
          <w:bCs/>
          <w:rtl/>
        </w:rPr>
      </w:pPr>
      <w:r>
        <w:rPr>
          <w:rFonts w:ascii="David" w:hAnsi="David"/>
          <w:b/>
          <w:bCs/>
          <w:rtl/>
        </w:rPr>
        <w:t xml:space="preserve">3. לאחר קבלת חוות דעת המומחית, יינתנו הוראות ביחס לשמיעת עדות האם ורצונה. </w:t>
      </w:r>
    </w:p>
    <w:p w:rsidR="00CF0429" w:rsidRDefault="00CF0429" w:rsidP="00CF0429">
      <w:pPr>
        <w:spacing w:after="120" w:line="360" w:lineRule="auto"/>
        <w:ind w:left="1127" w:right="624" w:firstLine="7"/>
        <w:jc w:val="both"/>
        <w:rPr>
          <w:rFonts w:ascii="David" w:hAnsi="David"/>
          <w:rtl/>
        </w:rPr>
      </w:pPr>
      <w:r>
        <w:rPr>
          <w:rFonts w:ascii="David" w:hAnsi="David"/>
          <w:b/>
          <w:bCs/>
          <w:rtl/>
        </w:rPr>
        <w:lastRenderedPageBreak/>
        <w:t>4. המזכירות תמציא ההחלטה לכלל הגורמים</w:t>
      </w:r>
      <w:r>
        <w:rPr>
          <w:rFonts w:ascii="David" w:hAnsi="David"/>
          <w:rtl/>
        </w:rPr>
        <w:t xml:space="preserve">".  </w:t>
      </w:r>
    </w:p>
    <w:p w:rsidR="00CF0429" w:rsidRDefault="00CF0429" w:rsidP="00CF0429">
      <w:pPr>
        <w:spacing w:after="120" w:line="360" w:lineRule="auto"/>
        <w:ind w:left="720" w:hanging="720"/>
        <w:jc w:val="both"/>
        <w:rPr>
          <w:rFonts w:ascii="David" w:hAnsi="David"/>
          <w:rtl/>
        </w:rPr>
      </w:pPr>
      <w:r>
        <w:rPr>
          <w:rFonts w:ascii="David" w:hAnsi="David"/>
          <w:rtl/>
        </w:rPr>
        <w:tab/>
        <w:t>בגין החלטה זו, הוגשה בקשת רשות הערעור דנן.</w:t>
      </w:r>
    </w:p>
    <w:p w:rsidR="001678F8" w:rsidRDefault="001678F8" w:rsidP="00CF0429">
      <w:pPr>
        <w:spacing w:after="120" w:line="360" w:lineRule="auto"/>
        <w:ind w:left="720" w:hanging="720"/>
        <w:jc w:val="both"/>
        <w:rPr>
          <w:rFonts w:ascii="David" w:hAnsi="David"/>
          <w:rtl/>
        </w:rPr>
      </w:pPr>
    </w:p>
    <w:p w:rsidR="00CF0429" w:rsidRDefault="00CF0429" w:rsidP="00CF0429">
      <w:pPr>
        <w:spacing w:after="120" w:line="360" w:lineRule="auto"/>
        <w:jc w:val="both"/>
        <w:rPr>
          <w:rFonts w:ascii="David" w:hAnsi="David"/>
          <w:b/>
          <w:bCs/>
          <w:u w:val="single"/>
          <w:rtl/>
        </w:rPr>
      </w:pPr>
      <w:r>
        <w:rPr>
          <w:rFonts w:ascii="David" w:hAnsi="David"/>
          <w:b/>
          <w:bCs/>
          <w:u w:val="single"/>
          <w:rtl/>
        </w:rPr>
        <w:t xml:space="preserve">טענות המבקש בבקשת רשות הערעור </w:t>
      </w:r>
    </w:p>
    <w:p w:rsidR="00CF0429" w:rsidRDefault="00CF0429" w:rsidP="00CF0429">
      <w:pPr>
        <w:spacing w:after="120" w:line="360" w:lineRule="auto"/>
        <w:ind w:left="720" w:hanging="720"/>
        <w:jc w:val="both"/>
        <w:rPr>
          <w:rFonts w:ascii="David" w:hAnsi="David"/>
          <w:rtl/>
        </w:rPr>
      </w:pPr>
      <w:r>
        <w:rPr>
          <w:rFonts w:ascii="David" w:hAnsi="David"/>
          <w:rtl/>
        </w:rPr>
        <w:t>17.</w:t>
      </w:r>
      <w:r>
        <w:rPr>
          <w:rFonts w:ascii="David" w:hAnsi="David"/>
          <w:rtl/>
        </w:rPr>
        <w:tab/>
      </w:r>
      <w:r>
        <w:rPr>
          <w:rFonts w:ascii="David" w:hAnsi="David"/>
          <w:u w:val="single"/>
          <w:rtl/>
        </w:rPr>
        <w:t>להלן טענות המבקש בתמצית</w:t>
      </w:r>
      <w:r>
        <w:rPr>
          <w:rFonts w:ascii="David" w:hAnsi="David"/>
          <w:rtl/>
        </w:rPr>
        <w:t>:</w:t>
      </w:r>
    </w:p>
    <w:p w:rsidR="00CF0429" w:rsidRDefault="00CF0429" w:rsidP="00CF0429">
      <w:pPr>
        <w:spacing w:after="120" w:line="360" w:lineRule="auto"/>
        <w:ind w:left="1440" w:hanging="720"/>
        <w:jc w:val="both"/>
        <w:rPr>
          <w:rFonts w:ascii="David" w:hAnsi="David"/>
          <w:rtl/>
        </w:rPr>
      </w:pPr>
      <w:r>
        <w:rPr>
          <w:rFonts w:ascii="David" w:hAnsi="David"/>
          <w:rtl/>
        </w:rPr>
        <w:t>א.</w:t>
      </w:r>
      <w:r>
        <w:rPr>
          <w:rFonts w:ascii="David" w:hAnsi="David"/>
          <w:rtl/>
        </w:rPr>
        <w:tab/>
        <w:t xml:space="preserve">טעה בית משפט קמא כשנתן את ההחלטה קמא בניגוד לרצונה של האם, אשר רוצה בביקוריו של המשיב אצלה בשעות הערב, ומבלי לשמוע את עמדת האם טרם הכרעה בסוגיה. </w:t>
      </w:r>
    </w:p>
    <w:p w:rsidR="00CF0429" w:rsidRDefault="00CF0429" w:rsidP="00CF0429">
      <w:pPr>
        <w:spacing w:after="120" w:line="360" w:lineRule="auto"/>
        <w:ind w:left="1440" w:hanging="720"/>
        <w:jc w:val="both"/>
        <w:rPr>
          <w:rFonts w:ascii="David" w:hAnsi="David"/>
          <w:rtl/>
        </w:rPr>
      </w:pPr>
      <w:r>
        <w:rPr>
          <w:rFonts w:ascii="David" w:hAnsi="David"/>
          <w:rtl/>
        </w:rPr>
        <w:t>ב.</w:t>
      </w:r>
      <w:r>
        <w:rPr>
          <w:rFonts w:ascii="David" w:hAnsi="David"/>
          <w:rtl/>
        </w:rPr>
        <w:tab/>
        <w:t xml:space="preserve">טעה בית משפט קמא כשנתן את ההחלטה קמא מבלי לקיים דיון במעמד הצדדים ומבלי לשמוע הצדדים, בניגוד לפסק הדין ברמ"ש 1512-12-22. </w:t>
      </w:r>
    </w:p>
    <w:p w:rsidR="00CF0429" w:rsidRDefault="00CF0429" w:rsidP="00CF0429">
      <w:pPr>
        <w:spacing w:after="120" w:line="360" w:lineRule="auto"/>
        <w:ind w:left="1440" w:hanging="720"/>
        <w:jc w:val="both"/>
        <w:rPr>
          <w:rFonts w:ascii="David" w:hAnsi="David"/>
          <w:rtl/>
        </w:rPr>
      </w:pPr>
      <w:r>
        <w:rPr>
          <w:rFonts w:ascii="David" w:hAnsi="David"/>
          <w:rtl/>
        </w:rPr>
        <w:t>ג.</w:t>
      </w:r>
      <w:r>
        <w:rPr>
          <w:rFonts w:ascii="David" w:hAnsi="David"/>
          <w:rtl/>
        </w:rPr>
        <w:tab/>
        <w:t>טעה בית משפט קמא כשנתן, בניגוד להלכה הפסוקה, סעד זמני הזהה במהותו לסעד העיקרי.</w:t>
      </w:r>
    </w:p>
    <w:p w:rsidR="00CF0429" w:rsidRDefault="00CF0429" w:rsidP="00CF0429">
      <w:pPr>
        <w:spacing w:after="120" w:line="360" w:lineRule="auto"/>
        <w:ind w:left="1440" w:hanging="720"/>
        <w:jc w:val="both"/>
        <w:rPr>
          <w:rFonts w:ascii="David" w:hAnsi="David"/>
          <w:rtl/>
        </w:rPr>
      </w:pPr>
      <w:r>
        <w:rPr>
          <w:rFonts w:ascii="David" w:hAnsi="David"/>
          <w:rtl/>
        </w:rPr>
        <w:t>ד.</w:t>
      </w:r>
      <w:r>
        <w:rPr>
          <w:rFonts w:ascii="David" w:hAnsi="David"/>
          <w:rtl/>
        </w:rPr>
        <w:tab/>
        <w:t>אף לגופה של ההחלטה, טעה בית המשפט קמא בכל האמור בהחלטה קמא ומסקנותיה השגויות הנובעות מהטעייה מכוונת של המשיבים, ובניגוד לטובתה של האם, זכויותיה ורצונה כי המבקש יבוא לבקרה אף בשעות הערב.</w:t>
      </w:r>
    </w:p>
    <w:p w:rsidR="00CF0429" w:rsidRDefault="00CF0429" w:rsidP="00CF0429">
      <w:pPr>
        <w:spacing w:after="120" w:line="360" w:lineRule="auto"/>
        <w:ind w:left="1440" w:hanging="720"/>
        <w:jc w:val="both"/>
        <w:rPr>
          <w:rFonts w:ascii="David" w:hAnsi="David"/>
          <w:rtl/>
        </w:rPr>
      </w:pPr>
      <w:r>
        <w:rPr>
          <w:rFonts w:ascii="David" w:hAnsi="David"/>
          <w:rtl/>
        </w:rPr>
        <w:t>ה.</w:t>
      </w:r>
      <w:r>
        <w:rPr>
          <w:rFonts w:ascii="David" w:hAnsi="David"/>
          <w:rtl/>
        </w:rPr>
        <w:tab/>
        <w:t>טעה בית המשפט קמא עת קבע בהחלטה קמא, כי היא ניתנת לשם "הרגעת הרוחות". בשום מקום לא נטען כי הרוחות סערו, ולכן אין כל צורך להביא להרגעתן.</w:t>
      </w:r>
    </w:p>
    <w:p w:rsidR="00CF0429" w:rsidRDefault="00CF0429" w:rsidP="00CF0429">
      <w:pPr>
        <w:spacing w:after="120" w:line="360" w:lineRule="auto"/>
        <w:ind w:left="1440" w:hanging="720"/>
        <w:jc w:val="both"/>
        <w:rPr>
          <w:rFonts w:ascii="David" w:hAnsi="David"/>
          <w:rtl/>
        </w:rPr>
      </w:pPr>
      <w:r>
        <w:rPr>
          <w:rFonts w:ascii="David" w:hAnsi="David"/>
          <w:rtl/>
        </w:rPr>
        <w:t>ו.</w:t>
      </w:r>
      <w:r>
        <w:rPr>
          <w:rFonts w:ascii="David" w:hAnsi="David"/>
          <w:rtl/>
        </w:rPr>
        <w:tab/>
        <w:t>טעה בית המשפט קמא עת נתן את ההחלטה קמא מבלי שהמתין לקבלת חוות דעתו של גורם ששמע את רצון האם. בית משפט קמא מינה ביולי 2022 מומחית לבדיקת מצב האם, אולם לא ידוע מתי תוגש חוות דעתה.</w:t>
      </w:r>
    </w:p>
    <w:p w:rsidR="00CF0429" w:rsidRDefault="00CF0429" w:rsidP="00CF0429">
      <w:pPr>
        <w:spacing w:after="120" w:line="360" w:lineRule="auto"/>
        <w:jc w:val="both"/>
        <w:rPr>
          <w:rFonts w:ascii="David" w:hAnsi="David"/>
        </w:rPr>
      </w:pPr>
    </w:p>
    <w:p w:rsidR="00CF0429" w:rsidRDefault="00CF0429" w:rsidP="00CF0429">
      <w:pPr>
        <w:spacing w:after="120" w:line="360" w:lineRule="auto"/>
        <w:jc w:val="both"/>
        <w:rPr>
          <w:rFonts w:ascii="David" w:eastAsiaTheme="minorHAnsi" w:hAnsi="David"/>
          <w:rtl/>
        </w:rPr>
      </w:pPr>
      <w:r>
        <w:rPr>
          <w:rFonts w:ascii="David" w:hAnsi="David"/>
          <w:b/>
          <w:bCs/>
          <w:u w:val="single"/>
          <w:rtl/>
        </w:rPr>
        <w:t>טענות המשיבים בתשובתם לבקשת רשות הערעור</w:t>
      </w:r>
    </w:p>
    <w:p w:rsidR="00CF0429" w:rsidRDefault="00CF0429" w:rsidP="00CF0429">
      <w:pPr>
        <w:spacing w:after="120" w:line="360" w:lineRule="auto"/>
        <w:ind w:left="720" w:hanging="720"/>
        <w:jc w:val="both"/>
        <w:rPr>
          <w:rFonts w:ascii="David" w:hAnsi="David"/>
          <w:rtl/>
        </w:rPr>
      </w:pPr>
      <w:r>
        <w:rPr>
          <w:rFonts w:ascii="David" w:hAnsi="David"/>
          <w:rtl/>
        </w:rPr>
        <w:t>18.</w:t>
      </w:r>
      <w:r>
        <w:rPr>
          <w:rFonts w:ascii="David" w:hAnsi="David"/>
          <w:rtl/>
        </w:rPr>
        <w:tab/>
      </w:r>
      <w:r>
        <w:rPr>
          <w:rFonts w:ascii="David" w:hAnsi="David"/>
          <w:u w:val="single"/>
          <w:rtl/>
        </w:rPr>
        <w:t>להלן תמצית טענות המשיבים בתשובתם</w:t>
      </w:r>
      <w:r>
        <w:rPr>
          <w:rFonts w:ascii="David" w:hAnsi="David"/>
          <w:rtl/>
        </w:rPr>
        <w:t>:</w:t>
      </w:r>
    </w:p>
    <w:p w:rsidR="00CF0429" w:rsidRDefault="00CF0429" w:rsidP="00CF0429">
      <w:pPr>
        <w:spacing w:after="120" w:line="360" w:lineRule="auto"/>
        <w:ind w:left="1440" w:hanging="720"/>
        <w:jc w:val="both"/>
        <w:rPr>
          <w:rFonts w:ascii="David" w:hAnsi="David"/>
          <w:rtl/>
        </w:rPr>
      </w:pPr>
      <w:r>
        <w:rPr>
          <w:rFonts w:ascii="David" w:hAnsi="David"/>
          <w:rtl/>
        </w:rPr>
        <w:t>א.</w:t>
      </w:r>
      <w:r>
        <w:rPr>
          <w:rFonts w:ascii="David" w:hAnsi="David"/>
          <w:rtl/>
        </w:rPr>
        <w:tab/>
        <w:t>המבקש מפריע לאם בביקוריו המאוחרים, פוגע בפרטיותה ומטריד. המבקש לא מכבד את שגרת יומה של האם, אשר זקוקה למנוחה בשעות הערב עקב מצבה הבריאותי והיותה מטופלת בדיאליזה שלוש פעמים בשבוע, ארבע שעות בכל פעם.</w:t>
      </w:r>
    </w:p>
    <w:p w:rsidR="00CF0429" w:rsidRDefault="00CF0429" w:rsidP="00CF0429">
      <w:pPr>
        <w:spacing w:after="120" w:line="360" w:lineRule="auto"/>
        <w:ind w:left="1440" w:hanging="720"/>
        <w:jc w:val="both"/>
        <w:rPr>
          <w:rFonts w:ascii="David" w:hAnsi="David"/>
          <w:rtl/>
        </w:rPr>
      </w:pPr>
      <w:r>
        <w:rPr>
          <w:rFonts w:ascii="David" w:hAnsi="David"/>
          <w:rtl/>
        </w:rPr>
        <w:t>ב.</w:t>
      </w:r>
      <w:r>
        <w:rPr>
          <w:rFonts w:ascii="David" w:hAnsi="David"/>
          <w:rtl/>
        </w:rPr>
        <w:tab/>
        <w:t>מצ</w:t>
      </w:r>
      <w:r w:rsidR="000E5D34">
        <w:rPr>
          <w:rFonts w:ascii="David" w:hAnsi="David"/>
          <w:rtl/>
        </w:rPr>
        <w:t>בה הבריאותי של האם הולך ומידרדר</w:t>
      </w:r>
      <w:r w:rsidR="000E5D34">
        <w:rPr>
          <w:rFonts w:ascii="David" w:hAnsi="David" w:hint="cs"/>
          <w:rtl/>
        </w:rPr>
        <w:t>.</w:t>
      </w:r>
      <w:r>
        <w:rPr>
          <w:rFonts w:ascii="David" w:hAnsi="David"/>
          <w:rtl/>
        </w:rPr>
        <w:t xml:space="preserve"> ביום 9.3.23 אושפזה האם בבית החולים לאור החמרה במצבה וטרם שוחררה לביתה. </w:t>
      </w:r>
    </w:p>
    <w:p w:rsidR="00CF0429" w:rsidRDefault="00CF0429" w:rsidP="00CF0429">
      <w:pPr>
        <w:spacing w:after="120" w:line="360" w:lineRule="auto"/>
        <w:ind w:left="1440" w:hanging="720"/>
        <w:jc w:val="both"/>
        <w:rPr>
          <w:rFonts w:ascii="David" w:hAnsi="David"/>
          <w:rtl/>
        </w:rPr>
      </w:pPr>
      <w:r>
        <w:rPr>
          <w:rFonts w:ascii="David" w:hAnsi="David"/>
          <w:rtl/>
        </w:rPr>
        <w:lastRenderedPageBreak/>
        <w:t>ג.</w:t>
      </w:r>
      <w:r>
        <w:rPr>
          <w:rFonts w:ascii="David" w:hAnsi="David"/>
          <w:rtl/>
        </w:rPr>
        <w:tab/>
        <w:t>בית משפט קמא דן ופסק בטענות המבקש בדבר הגשת סעד זמני הזהה לסעד העיקרי בתובענה. בית המשפט קמא ציין מפורשות כי לאחר הגשת חוות דעתה של המומחית שמינה, יינתנו הוראות בדבר שמיעתה של האם.</w:t>
      </w:r>
    </w:p>
    <w:p w:rsidR="00CF0429" w:rsidRDefault="00CF0429" w:rsidP="00CF0429">
      <w:pPr>
        <w:spacing w:after="120" w:line="360" w:lineRule="auto"/>
        <w:ind w:left="1440" w:hanging="720"/>
        <w:jc w:val="both"/>
        <w:rPr>
          <w:rFonts w:ascii="David" w:hAnsi="David"/>
          <w:rtl/>
        </w:rPr>
      </w:pPr>
      <w:r>
        <w:rPr>
          <w:rFonts w:ascii="David" w:hAnsi="David"/>
          <w:rtl/>
        </w:rPr>
        <w:t>ד.</w:t>
      </w:r>
      <w:r>
        <w:rPr>
          <w:rFonts w:ascii="David" w:hAnsi="David"/>
          <w:rtl/>
        </w:rPr>
        <w:tab/>
        <w:t>צדק בית המשפט קמא עת נתן את צו המניעה ההדדי, צעד שנועד להרגיע את רוחות הצדדים ו</w:t>
      </w:r>
      <w:r w:rsidR="000E5D34">
        <w:rPr>
          <w:rFonts w:ascii="David" w:hAnsi="David" w:hint="cs"/>
          <w:rtl/>
        </w:rPr>
        <w:t>להפחית מ</w:t>
      </w:r>
      <w:r>
        <w:rPr>
          <w:rFonts w:ascii="David" w:hAnsi="David"/>
          <w:rtl/>
        </w:rPr>
        <w:t xml:space="preserve">עצימות הסכסוך. </w:t>
      </w:r>
    </w:p>
    <w:p w:rsidR="00CF0429" w:rsidRDefault="00CF0429" w:rsidP="00CF0429">
      <w:pPr>
        <w:spacing w:after="120" w:line="360" w:lineRule="auto"/>
        <w:ind w:left="1440" w:hanging="720"/>
        <w:jc w:val="both"/>
        <w:rPr>
          <w:rFonts w:ascii="David" w:hAnsi="David"/>
          <w:rtl/>
        </w:rPr>
      </w:pPr>
      <w:r>
        <w:rPr>
          <w:rFonts w:ascii="David" w:hAnsi="David"/>
          <w:rtl/>
        </w:rPr>
        <w:t>ה.</w:t>
      </w:r>
      <w:r>
        <w:rPr>
          <w:rFonts w:ascii="David" w:hAnsi="David"/>
          <w:rtl/>
        </w:rPr>
        <w:tab/>
        <w:t>אין כל אסמכתא לטענות המבקש, לפיהן האם אמרה כי רוצה שהמבקש יהיה איתה כל הזמן, וטענות האלה נטענו מן הפה אל החוץ על ידי המבקש.</w:t>
      </w:r>
    </w:p>
    <w:p w:rsidR="00CF0429" w:rsidRDefault="00CF0429" w:rsidP="000E5D34">
      <w:pPr>
        <w:spacing w:after="120" w:line="360" w:lineRule="auto"/>
        <w:ind w:left="1440" w:hanging="720"/>
        <w:jc w:val="both"/>
        <w:rPr>
          <w:rFonts w:ascii="David" w:hAnsi="David"/>
          <w:rtl/>
        </w:rPr>
      </w:pPr>
      <w:r>
        <w:rPr>
          <w:rFonts w:ascii="David" w:hAnsi="David"/>
          <w:rtl/>
        </w:rPr>
        <w:t>ו.</w:t>
      </w:r>
      <w:r>
        <w:rPr>
          <w:rFonts w:ascii="David" w:hAnsi="David"/>
          <w:rtl/>
        </w:rPr>
        <w:tab/>
        <w:t>מתן הצו קמא לא פוגע בזכויותיה של האם, שכן בית משפט קמא מעוניין לקבל תמונת מצב על מצבה הקוגניטיבי של האם</w:t>
      </w:r>
      <w:r w:rsidR="000E5D34">
        <w:rPr>
          <w:rFonts w:ascii="David" w:hAnsi="David" w:hint="cs"/>
          <w:rtl/>
        </w:rPr>
        <w:t>,</w:t>
      </w:r>
      <w:r>
        <w:rPr>
          <w:rFonts w:ascii="David" w:hAnsi="David"/>
          <w:rtl/>
        </w:rPr>
        <w:t xml:space="preserve"> </w:t>
      </w:r>
      <w:r w:rsidR="000E5D34">
        <w:rPr>
          <w:rFonts w:ascii="David" w:hAnsi="David" w:hint="cs"/>
          <w:rtl/>
        </w:rPr>
        <w:t>ועל</w:t>
      </w:r>
      <w:r>
        <w:rPr>
          <w:rFonts w:ascii="David" w:hAnsi="David"/>
          <w:rtl/>
        </w:rPr>
        <w:t xml:space="preserve"> מצבה הבריאותי המידרדר. </w:t>
      </w:r>
    </w:p>
    <w:p w:rsidR="00CF0429" w:rsidRDefault="00CF0429" w:rsidP="00CF0429">
      <w:pPr>
        <w:spacing w:after="120" w:line="360" w:lineRule="auto"/>
        <w:jc w:val="both"/>
        <w:rPr>
          <w:rFonts w:ascii="David" w:hAnsi="David"/>
          <w:rtl/>
        </w:rPr>
      </w:pPr>
      <w:r>
        <w:rPr>
          <w:rFonts w:ascii="David" w:hAnsi="David"/>
          <w:rtl/>
        </w:rPr>
        <w:t>19.</w:t>
      </w:r>
      <w:r>
        <w:rPr>
          <w:rFonts w:ascii="David" w:hAnsi="David"/>
          <w:rtl/>
        </w:rPr>
        <w:tab/>
        <w:t xml:space="preserve">יצוין כי יחד עם בקשת רשות הערעור, הוגשה בקשה לעיכוב ביצוע ההחלטה קמא. בהחלטתי </w:t>
      </w:r>
      <w:r>
        <w:rPr>
          <w:rFonts w:ascii="David" w:hAnsi="David"/>
          <w:rtl/>
        </w:rPr>
        <w:tab/>
        <w:t xml:space="preserve">מיום 1.3.23 </w:t>
      </w:r>
      <w:r>
        <w:rPr>
          <w:rFonts w:ascii="David" w:hAnsi="David"/>
          <w:u w:val="single"/>
          <w:rtl/>
        </w:rPr>
        <w:t>דחיתי</w:t>
      </w:r>
      <w:r>
        <w:rPr>
          <w:rFonts w:ascii="David" w:hAnsi="David"/>
          <w:rtl/>
        </w:rPr>
        <w:t xml:space="preserve"> את הבקשה לעיכוב ביצוע, הן מהטעם שחלפו כחודש ימים מאז ניתן הצו </w:t>
      </w:r>
      <w:r>
        <w:rPr>
          <w:rFonts w:ascii="David" w:hAnsi="David"/>
          <w:rtl/>
        </w:rPr>
        <w:tab/>
        <w:t xml:space="preserve">קמא (והצדדים פועלים לפיו) והן מהטעם כי ההליך דנן צפוי להתברר תוך זמן קצר (בעניין זה </w:t>
      </w:r>
      <w:r>
        <w:rPr>
          <w:rFonts w:ascii="David" w:hAnsi="David"/>
          <w:rtl/>
        </w:rPr>
        <w:tab/>
        <w:t>יובהר כי המשיבים ביקשו וקיבלו ביום 16.3.23 אורכה להגשת כתב התשובה מטעמם).</w:t>
      </w:r>
    </w:p>
    <w:p w:rsidR="00CF0429" w:rsidRDefault="00CF0429" w:rsidP="00CF0429">
      <w:pPr>
        <w:spacing w:after="120" w:line="360" w:lineRule="auto"/>
        <w:jc w:val="both"/>
        <w:rPr>
          <w:rFonts w:ascii="David" w:hAnsi="David"/>
          <w:rtl/>
        </w:rPr>
      </w:pPr>
    </w:p>
    <w:p w:rsidR="00CF0429" w:rsidRDefault="00CF0429" w:rsidP="00CF0429">
      <w:pPr>
        <w:spacing w:after="120" w:line="360" w:lineRule="auto"/>
        <w:jc w:val="both"/>
        <w:rPr>
          <w:rFonts w:ascii="David" w:hAnsi="David"/>
          <w:b/>
          <w:bCs/>
          <w:u w:val="single"/>
          <w:rtl/>
        </w:rPr>
      </w:pPr>
      <w:r>
        <w:rPr>
          <w:rFonts w:ascii="David" w:hAnsi="David"/>
          <w:b/>
          <w:bCs/>
          <w:u w:val="single"/>
          <w:rtl/>
        </w:rPr>
        <w:t>דיון והכרעה</w:t>
      </w:r>
    </w:p>
    <w:p w:rsidR="00CF0429" w:rsidRDefault="00CF0429" w:rsidP="00CF0429">
      <w:pPr>
        <w:spacing w:after="120" w:line="360" w:lineRule="auto"/>
        <w:ind w:left="720" w:hanging="720"/>
        <w:jc w:val="both"/>
        <w:rPr>
          <w:rFonts w:ascii="David" w:hAnsi="David"/>
          <w:b/>
          <w:bCs/>
        </w:rPr>
      </w:pPr>
      <w:r>
        <w:rPr>
          <w:rFonts w:ascii="David" w:hAnsi="David"/>
          <w:rtl/>
        </w:rPr>
        <w:t>20.</w:t>
      </w:r>
      <w:r>
        <w:rPr>
          <w:rFonts w:ascii="David" w:hAnsi="David"/>
          <w:rtl/>
        </w:rPr>
        <w:tab/>
      </w:r>
      <w:r>
        <w:rPr>
          <w:rFonts w:ascii="David" w:hAnsi="David"/>
          <w:b/>
          <w:bCs/>
          <w:rtl/>
        </w:rPr>
        <w:t xml:space="preserve">לאחר עיון בבקשת רשות הערעור על נספחיה, בתשובת המשיבים ובתיק קמא שוכנעתי ליתן רשות ערעור, לדון בבקשה כבערעור </w:t>
      </w:r>
      <w:r>
        <w:rPr>
          <w:rFonts w:ascii="David" w:hAnsi="David"/>
          <w:b/>
          <w:bCs/>
          <w:u w:val="single"/>
          <w:rtl/>
        </w:rPr>
        <w:t>ולקבל הערעור באופן חלקי</w:t>
      </w:r>
      <w:r>
        <w:rPr>
          <w:rFonts w:ascii="David" w:hAnsi="David"/>
          <w:b/>
          <w:bCs/>
          <w:rtl/>
        </w:rPr>
        <w:t xml:space="preserve"> שיפורט להלן, מכח סמכותי על פי תקנות 138(א)(2) + (5) לתקנות סדר הדין האזרחי, תשע"ט-2018.</w:t>
      </w:r>
    </w:p>
    <w:p w:rsidR="00CF0429" w:rsidRDefault="00CF0429" w:rsidP="00CF0429">
      <w:pPr>
        <w:spacing w:after="120" w:line="360" w:lineRule="auto"/>
        <w:ind w:left="720" w:hanging="720"/>
        <w:jc w:val="both"/>
        <w:rPr>
          <w:rFonts w:ascii="David" w:hAnsi="David"/>
          <w:rtl/>
        </w:rPr>
      </w:pPr>
      <w:r>
        <w:rPr>
          <w:rFonts w:ascii="David" w:hAnsi="David"/>
          <w:b/>
          <w:bCs/>
          <w:rtl/>
        </w:rPr>
        <w:tab/>
      </w:r>
      <w:r>
        <w:rPr>
          <w:rFonts w:ascii="David" w:hAnsi="David"/>
          <w:rtl/>
        </w:rPr>
        <w:t>להלן אנמק החלטתי.</w:t>
      </w:r>
    </w:p>
    <w:p w:rsidR="00CF0429" w:rsidRDefault="00CF0429" w:rsidP="000E5D34">
      <w:pPr>
        <w:spacing w:after="120" w:line="360" w:lineRule="auto"/>
        <w:jc w:val="both"/>
        <w:rPr>
          <w:rFonts w:ascii="David" w:hAnsi="David"/>
          <w:rtl/>
        </w:rPr>
      </w:pPr>
      <w:r>
        <w:rPr>
          <w:rFonts w:ascii="David" w:hAnsi="David"/>
          <w:rtl/>
        </w:rPr>
        <w:t>21.</w:t>
      </w:r>
      <w:r>
        <w:rPr>
          <w:rFonts w:ascii="David" w:hAnsi="David"/>
          <w:rtl/>
        </w:rPr>
        <w:tab/>
        <w:t xml:space="preserve">סבורני כי היה על בית משפט קמא לקיים דיון במעמד הצדדים טרם </w:t>
      </w:r>
      <w:r w:rsidR="000E5D34">
        <w:rPr>
          <w:rFonts w:ascii="David" w:hAnsi="David" w:hint="cs"/>
          <w:rtl/>
        </w:rPr>
        <w:t>מתן</w:t>
      </w:r>
      <w:r>
        <w:rPr>
          <w:rFonts w:ascii="David" w:hAnsi="David"/>
          <w:rtl/>
        </w:rPr>
        <w:t xml:space="preserve"> ההחלטה בבקשה </w:t>
      </w:r>
      <w:r>
        <w:rPr>
          <w:rFonts w:ascii="David" w:hAnsi="David"/>
          <w:rtl/>
        </w:rPr>
        <w:tab/>
        <w:t xml:space="preserve">לסעד זמני, לשמוע את הצדדים ולהחליט רק לאחר מכן, כמצוות תקנה 97(א) לתקנות סדר </w:t>
      </w:r>
      <w:r>
        <w:rPr>
          <w:rFonts w:ascii="David" w:hAnsi="David"/>
          <w:rtl/>
        </w:rPr>
        <w:tab/>
        <w:t>הדין האזרחי, התשע"ט-2018.</w:t>
      </w:r>
    </w:p>
    <w:p w:rsidR="00CF0429" w:rsidRDefault="00CF0429" w:rsidP="00CF0429">
      <w:pPr>
        <w:spacing w:after="120" w:line="360" w:lineRule="auto"/>
        <w:jc w:val="both"/>
        <w:rPr>
          <w:rFonts w:ascii="David" w:hAnsi="David"/>
          <w:rtl/>
        </w:rPr>
      </w:pPr>
      <w:r>
        <w:rPr>
          <w:rFonts w:ascii="David" w:hAnsi="David"/>
          <w:rtl/>
        </w:rPr>
        <w:tab/>
      </w:r>
      <w:r>
        <w:rPr>
          <w:rFonts w:ascii="David" w:hAnsi="David"/>
          <w:u w:val="single"/>
          <w:rtl/>
        </w:rPr>
        <w:t>ראו בעניין זה</w:t>
      </w:r>
      <w:r>
        <w:rPr>
          <w:rFonts w:ascii="David" w:hAnsi="David"/>
          <w:rtl/>
        </w:rPr>
        <w:t xml:space="preserve">: רע"א 8339/21 </w:t>
      </w:r>
      <w:r>
        <w:rPr>
          <w:rFonts w:ascii="David" w:hAnsi="David"/>
          <w:b/>
          <w:bCs/>
          <w:rtl/>
        </w:rPr>
        <w:t>עצמאות ניהול מלונות בע"מ נ' פלטרין השקעות בע"מ</w:t>
      </w:r>
      <w:r>
        <w:rPr>
          <w:rFonts w:ascii="David" w:hAnsi="David"/>
          <w:rtl/>
        </w:rPr>
        <w:t xml:space="preserve"> </w:t>
      </w:r>
      <w:r>
        <w:rPr>
          <w:rFonts w:ascii="David" w:hAnsi="David"/>
          <w:rtl/>
        </w:rPr>
        <w:tab/>
        <w:t>(21.6.2022).</w:t>
      </w:r>
    </w:p>
    <w:p w:rsidR="00321FE9" w:rsidRDefault="00CF0429" w:rsidP="00321FE9">
      <w:pPr>
        <w:spacing w:after="120" w:line="360" w:lineRule="auto"/>
        <w:ind w:left="720" w:hanging="720"/>
        <w:jc w:val="both"/>
        <w:rPr>
          <w:rFonts w:ascii="David" w:hAnsi="David"/>
          <w:rtl/>
        </w:rPr>
      </w:pPr>
      <w:r>
        <w:rPr>
          <w:rFonts w:ascii="David" w:hAnsi="David"/>
          <w:rtl/>
        </w:rPr>
        <w:t>22.</w:t>
      </w:r>
      <w:r>
        <w:rPr>
          <w:rFonts w:ascii="David" w:hAnsi="David"/>
          <w:rtl/>
        </w:rPr>
        <w:tab/>
      </w:r>
      <w:r w:rsidR="000E5D34">
        <w:rPr>
          <w:rFonts w:ascii="David" w:hAnsi="David" w:hint="cs"/>
          <w:rtl/>
        </w:rPr>
        <w:t>יחד עם זאת, ולנוכח הסכסוך</w:t>
      </w:r>
      <w:r w:rsidR="009924F2">
        <w:rPr>
          <w:rFonts w:ascii="David" w:hAnsi="David" w:hint="cs"/>
          <w:rtl/>
        </w:rPr>
        <w:t xml:space="preserve"> הלכאורי</w:t>
      </w:r>
      <w:r w:rsidR="000E5D34">
        <w:rPr>
          <w:rFonts w:ascii="David" w:hAnsi="David" w:hint="cs"/>
          <w:rtl/>
        </w:rPr>
        <w:t xml:space="preserve"> </w:t>
      </w:r>
      <w:r w:rsidR="009924F2">
        <w:rPr>
          <w:rFonts w:ascii="David" w:hAnsi="David" w:hint="cs"/>
          <w:rtl/>
        </w:rPr>
        <w:t>(</w:t>
      </w:r>
      <w:r w:rsidR="000E5D34">
        <w:rPr>
          <w:rFonts w:ascii="David" w:hAnsi="David" w:hint="cs"/>
          <w:rtl/>
        </w:rPr>
        <w:t>המתמשך</w:t>
      </w:r>
      <w:r w:rsidR="009924F2">
        <w:rPr>
          <w:rFonts w:ascii="David" w:hAnsi="David" w:hint="cs"/>
          <w:rtl/>
        </w:rPr>
        <w:t>)</w:t>
      </w:r>
      <w:r w:rsidR="000E5D34">
        <w:rPr>
          <w:rFonts w:ascii="David" w:hAnsi="David" w:hint="cs"/>
          <w:rtl/>
        </w:rPr>
        <w:t xml:space="preserve"> בין הצדדים בהקשר לביקורי</w:t>
      </w:r>
      <w:r w:rsidR="00321FE9">
        <w:rPr>
          <w:rFonts w:ascii="David" w:hAnsi="David" w:hint="cs"/>
          <w:rtl/>
        </w:rPr>
        <w:t xml:space="preserve"> המבקש את</w:t>
      </w:r>
      <w:r w:rsidR="000E5D34">
        <w:rPr>
          <w:rFonts w:ascii="David" w:hAnsi="David" w:hint="cs"/>
          <w:rtl/>
        </w:rPr>
        <w:t xml:space="preserve"> האם</w:t>
      </w:r>
      <w:r w:rsidR="00321FE9">
        <w:rPr>
          <w:rFonts w:ascii="David" w:hAnsi="David" w:hint="cs"/>
          <w:rtl/>
        </w:rPr>
        <w:t xml:space="preserve"> בלילות,</w:t>
      </w:r>
      <w:r w:rsidR="000E5D34">
        <w:rPr>
          <w:rFonts w:ascii="David" w:hAnsi="David" w:hint="cs"/>
          <w:rtl/>
        </w:rPr>
        <w:t xml:space="preserve"> </w:t>
      </w:r>
      <w:r w:rsidR="00321FE9">
        <w:rPr>
          <w:rFonts w:ascii="David" w:hAnsi="David" w:hint="cs"/>
          <w:rtl/>
        </w:rPr>
        <w:t>כמשתקף מכתבי הטענות ברמ"ש זה, אני מורה כי הצו ההדדי הזמני ייישאר על כנו עד לקיום דיון בבקשה שיהא תוך זמן קצר, ואז ייבחן מחדש על ידי בית המשפט.</w:t>
      </w:r>
    </w:p>
    <w:p w:rsidR="00321FE9" w:rsidRDefault="00321FE9" w:rsidP="00321FE9">
      <w:pPr>
        <w:spacing w:after="120" w:line="360" w:lineRule="auto"/>
        <w:ind w:left="720" w:hanging="720"/>
        <w:jc w:val="both"/>
        <w:rPr>
          <w:rFonts w:ascii="David" w:hAnsi="David"/>
          <w:rtl/>
        </w:rPr>
      </w:pPr>
      <w:r>
        <w:rPr>
          <w:rFonts w:ascii="David" w:hAnsi="David"/>
          <w:rtl/>
        </w:rPr>
        <w:tab/>
      </w:r>
      <w:r>
        <w:rPr>
          <w:rFonts w:ascii="David" w:hAnsi="David" w:hint="cs"/>
          <w:rtl/>
        </w:rPr>
        <w:t xml:space="preserve"> </w:t>
      </w:r>
    </w:p>
    <w:p w:rsidR="00321FE9" w:rsidRDefault="00321FE9" w:rsidP="00321FE9">
      <w:pPr>
        <w:spacing w:after="120" w:line="360" w:lineRule="auto"/>
        <w:ind w:left="720" w:hanging="720"/>
        <w:jc w:val="both"/>
        <w:rPr>
          <w:rFonts w:ascii="David" w:hAnsi="David"/>
          <w:rtl/>
        </w:rPr>
      </w:pPr>
    </w:p>
    <w:p w:rsidR="00321FE9" w:rsidRDefault="00321FE9" w:rsidP="00321FE9">
      <w:pPr>
        <w:spacing w:after="120" w:line="360" w:lineRule="auto"/>
        <w:ind w:left="720" w:hanging="720"/>
        <w:jc w:val="both"/>
        <w:rPr>
          <w:rFonts w:ascii="David" w:hAnsi="David"/>
          <w:rtl/>
        </w:rPr>
      </w:pPr>
      <w:r>
        <w:rPr>
          <w:rFonts w:ascii="David" w:hAnsi="David" w:hint="cs"/>
          <w:rtl/>
        </w:rPr>
        <w:lastRenderedPageBreak/>
        <w:t>23.</w:t>
      </w:r>
      <w:r>
        <w:rPr>
          <w:rFonts w:ascii="David" w:hAnsi="David" w:hint="cs"/>
          <w:rtl/>
        </w:rPr>
        <w:tab/>
      </w:r>
      <w:r w:rsidRPr="00321FE9">
        <w:rPr>
          <w:rFonts w:ascii="David" w:hAnsi="David" w:hint="cs"/>
          <w:rtl/>
        </w:rPr>
        <w:t>לאור כל זאת אני מורה</w:t>
      </w:r>
      <w:r>
        <w:rPr>
          <w:rFonts w:ascii="David" w:hAnsi="David" w:hint="cs"/>
          <w:rtl/>
        </w:rPr>
        <w:t xml:space="preserve"> כי ב</w:t>
      </w:r>
      <w:r w:rsidR="00CF0429">
        <w:rPr>
          <w:rFonts w:ascii="David" w:hAnsi="David"/>
          <w:rtl/>
        </w:rPr>
        <w:t>ית משפט קמא יקיים דיון בבקשה לצו מניעה זמני, עוד לפני פגרת הפסח</w:t>
      </w:r>
      <w:r w:rsidR="000E5D34">
        <w:rPr>
          <w:rFonts w:ascii="David" w:hAnsi="David" w:hint="cs"/>
          <w:rtl/>
        </w:rPr>
        <w:t xml:space="preserve"> </w:t>
      </w:r>
      <w:r w:rsidR="00CF0429">
        <w:rPr>
          <w:rFonts w:ascii="David" w:hAnsi="David"/>
          <w:rtl/>
        </w:rPr>
        <w:t xml:space="preserve">ובהתאם ליומנו. </w:t>
      </w:r>
    </w:p>
    <w:p w:rsidR="00CF0429" w:rsidRDefault="00321FE9" w:rsidP="00321FE9">
      <w:pPr>
        <w:spacing w:after="120" w:line="360" w:lineRule="auto"/>
        <w:ind w:left="720"/>
        <w:jc w:val="both"/>
        <w:rPr>
          <w:rFonts w:ascii="David" w:hAnsi="David"/>
          <w:rtl/>
        </w:rPr>
      </w:pPr>
      <w:r>
        <w:rPr>
          <w:rFonts w:ascii="David" w:hAnsi="David" w:hint="cs"/>
          <w:rtl/>
        </w:rPr>
        <w:t>במסגרת דיון זה</w:t>
      </w:r>
      <w:r w:rsidR="009924F2">
        <w:rPr>
          <w:rFonts w:ascii="David" w:hAnsi="David" w:hint="cs"/>
          <w:rtl/>
        </w:rPr>
        <w:t xml:space="preserve"> </w:t>
      </w:r>
      <w:r w:rsidR="00CF0429">
        <w:rPr>
          <w:rFonts w:ascii="David" w:hAnsi="David"/>
          <w:rtl/>
        </w:rPr>
        <w:t xml:space="preserve">בית משפט קמא ישמע את הצדדים ויבדוק, האם יש מקום לשנות מהחלטתו קמא, נוכח כלל הנסיבות בתיק </w:t>
      </w:r>
      <w:r w:rsidR="000E5D34">
        <w:rPr>
          <w:rFonts w:ascii="David" w:hAnsi="David"/>
          <w:rtl/>
        </w:rPr>
        <w:t>קמא</w:t>
      </w:r>
      <w:r w:rsidR="009924F2">
        <w:rPr>
          <w:rFonts w:ascii="David" w:hAnsi="David" w:hint="cs"/>
          <w:rtl/>
        </w:rPr>
        <w:t xml:space="preserve"> וטובת האם</w:t>
      </w:r>
      <w:r w:rsidR="000E5D34">
        <w:rPr>
          <w:rFonts w:ascii="David" w:hAnsi="David"/>
          <w:rtl/>
        </w:rPr>
        <w:t>, לרבות מצבה הבריאותי של האם</w:t>
      </w:r>
      <w:r w:rsidR="000E5D34">
        <w:rPr>
          <w:rFonts w:ascii="David" w:hAnsi="David" w:hint="cs"/>
          <w:rtl/>
        </w:rPr>
        <w:t>, שהתדרדר לאחרונה, כפי שצויין בתשובת המשיבים.</w:t>
      </w:r>
    </w:p>
    <w:p w:rsidR="009924F2" w:rsidRDefault="009924F2" w:rsidP="00CF0429">
      <w:pPr>
        <w:spacing w:after="120" w:line="360" w:lineRule="auto"/>
        <w:jc w:val="both"/>
        <w:rPr>
          <w:rFonts w:ascii="David" w:hAnsi="David"/>
          <w:b/>
          <w:bCs/>
          <w:u w:val="single"/>
          <w:rtl/>
        </w:rPr>
      </w:pPr>
    </w:p>
    <w:p w:rsidR="00CF0429" w:rsidRDefault="00CF0429" w:rsidP="00CF0429">
      <w:pPr>
        <w:spacing w:after="120" w:line="360" w:lineRule="auto"/>
        <w:jc w:val="both"/>
        <w:rPr>
          <w:rFonts w:ascii="David" w:hAnsi="David"/>
          <w:b/>
          <w:bCs/>
          <w:u w:val="single"/>
          <w:rtl/>
        </w:rPr>
      </w:pPr>
      <w:r>
        <w:rPr>
          <w:rFonts w:ascii="David" w:hAnsi="David"/>
          <w:b/>
          <w:bCs/>
          <w:u w:val="single"/>
          <w:rtl/>
        </w:rPr>
        <w:t>סוף דבר</w:t>
      </w:r>
    </w:p>
    <w:p w:rsidR="00CF0429" w:rsidRDefault="00CF0429" w:rsidP="009924F2">
      <w:pPr>
        <w:spacing w:after="120" w:line="360" w:lineRule="auto"/>
        <w:jc w:val="both"/>
        <w:rPr>
          <w:rFonts w:ascii="David" w:hAnsi="David"/>
          <w:noProof w:val="0"/>
          <w:rtl/>
        </w:rPr>
      </w:pPr>
      <w:r>
        <w:rPr>
          <w:rFonts w:ascii="David" w:hAnsi="David"/>
          <w:rtl/>
        </w:rPr>
        <w:t>24.</w:t>
      </w:r>
      <w:r>
        <w:rPr>
          <w:rFonts w:ascii="David" w:hAnsi="David"/>
          <w:rtl/>
        </w:rPr>
        <w:tab/>
      </w:r>
      <w:r>
        <w:rPr>
          <w:rFonts w:ascii="David" w:hAnsi="David"/>
          <w:b/>
          <w:bCs/>
          <w:rtl/>
        </w:rPr>
        <w:t xml:space="preserve">לאור כל האמור לעיל אני מורה על קבלת הערעור בחלקו, כמפורט לעיל בסעיף </w:t>
      </w:r>
      <w:r w:rsidR="009924F2">
        <w:rPr>
          <w:rFonts w:ascii="David" w:hAnsi="David" w:hint="cs"/>
          <w:b/>
          <w:bCs/>
          <w:rtl/>
        </w:rPr>
        <w:t>23</w:t>
      </w:r>
      <w:r w:rsidR="009D2BB5">
        <w:rPr>
          <w:rFonts w:ascii="David" w:hAnsi="David" w:hint="cs"/>
          <w:noProof w:val="0"/>
          <w:rtl/>
        </w:rPr>
        <w:t>.</w:t>
      </w:r>
    </w:p>
    <w:p w:rsidR="00CF0429" w:rsidRDefault="00CF0429" w:rsidP="00CF0429">
      <w:pPr>
        <w:spacing w:after="120" w:line="360" w:lineRule="auto"/>
        <w:ind w:left="720" w:hanging="720"/>
        <w:jc w:val="both"/>
        <w:rPr>
          <w:rFonts w:ascii="David" w:hAnsi="David"/>
          <w:rtl/>
        </w:rPr>
      </w:pPr>
      <w:r>
        <w:rPr>
          <w:rFonts w:ascii="David" w:hAnsi="David"/>
          <w:rtl/>
        </w:rPr>
        <w:t>25.</w:t>
      </w:r>
      <w:r>
        <w:rPr>
          <w:rFonts w:ascii="David" w:hAnsi="David"/>
          <w:rtl/>
        </w:rPr>
        <w:tab/>
        <w:t>בנסיבות ולאור התוצאה אליה הגעתי, אינני עושה צו להוצאות.</w:t>
      </w:r>
    </w:p>
    <w:p w:rsidR="00CF0429" w:rsidRDefault="00CF0429" w:rsidP="00CF0429">
      <w:pPr>
        <w:spacing w:after="120" w:line="360" w:lineRule="auto"/>
        <w:ind w:left="720"/>
        <w:jc w:val="both"/>
        <w:rPr>
          <w:rFonts w:ascii="David" w:hAnsi="David"/>
          <w:rtl/>
        </w:rPr>
      </w:pPr>
      <w:r>
        <w:rPr>
          <w:rFonts w:ascii="David" w:hAnsi="David"/>
          <w:rtl/>
        </w:rPr>
        <w:t>המזכירות תחזיר העירבון שהופקד בהליך לידי מפקידו באמצעות באת כוחו.</w:t>
      </w:r>
    </w:p>
    <w:p w:rsidR="00CF0429" w:rsidRDefault="00CF0429" w:rsidP="00CF0429">
      <w:pPr>
        <w:spacing w:after="120" w:line="360" w:lineRule="auto"/>
        <w:jc w:val="both"/>
        <w:rPr>
          <w:rFonts w:ascii="David" w:hAnsi="David"/>
          <w:rtl/>
        </w:rPr>
      </w:pPr>
    </w:p>
    <w:p w:rsidR="00CF0429" w:rsidRDefault="00CF0429" w:rsidP="00CF0429">
      <w:pPr>
        <w:spacing w:after="120" w:line="360" w:lineRule="auto"/>
        <w:jc w:val="both"/>
        <w:rPr>
          <w:rFonts w:ascii="David" w:hAnsi="David"/>
          <w:b/>
          <w:bCs/>
          <w:rtl/>
        </w:rPr>
      </w:pPr>
      <w:r>
        <w:rPr>
          <w:rFonts w:ascii="David" w:hAnsi="David"/>
          <w:b/>
          <w:bCs/>
          <w:rtl/>
        </w:rPr>
        <w:t>המזכירות תשלח פסק דין זה לצדדים.</w:t>
      </w:r>
    </w:p>
    <w:p w:rsidR="00CF0429" w:rsidRDefault="00CF0429" w:rsidP="00CF0429">
      <w:pPr>
        <w:spacing w:after="120" w:line="360" w:lineRule="auto"/>
        <w:jc w:val="both"/>
        <w:rPr>
          <w:rFonts w:ascii="David" w:hAnsi="David"/>
          <w:b/>
          <w:bCs/>
          <w:rtl/>
        </w:rPr>
      </w:pPr>
    </w:p>
    <w:p w:rsidR="00CF0429" w:rsidRDefault="00CF0429" w:rsidP="00CF0429">
      <w:pPr>
        <w:spacing w:line="360" w:lineRule="auto"/>
        <w:jc w:val="both"/>
        <w:rPr>
          <w:rFonts w:ascii="David" w:hAnsi="David"/>
        </w:rPr>
      </w:pPr>
      <w:r>
        <w:rPr>
          <w:rFonts w:ascii="David" w:hAnsi="David"/>
          <w:b/>
          <w:bCs/>
          <w:rtl/>
        </w:rPr>
        <w:t>פסק דין זה מותר לפרסום תוך השמטת שמות הצדדים וכל פרט מזהה אחר.</w:t>
      </w:r>
    </w:p>
    <w:p w:rsidR="00694556" w:rsidRPr="00CF0429"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678F8" w:rsidRDefault="001678F8">
      <w:pPr>
        <w:spacing w:line="360" w:lineRule="auto"/>
        <w:jc w:val="both"/>
        <w:rPr>
          <w:rFonts w:ascii="Arial" w:hAnsi="Arial"/>
          <w:noProof w:val="0"/>
          <w:rtl/>
        </w:rPr>
      </w:pPr>
    </w:p>
    <w:p w:rsidR="001678F8" w:rsidRPr="00C770E3" w:rsidRDefault="001678F8">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מרץ 2023</w:t>
          </w:r>
        </w:sdtContent>
      </w:sdt>
      <w:r w:rsidR="00005C8B">
        <w:rPr>
          <w:rFonts w:ascii="Arial" w:hAnsi="Arial"/>
          <w:noProof w:val="0"/>
          <w:rtl/>
        </w:rPr>
        <w:t>, בהעדר הצדדים.</w:t>
      </w:r>
    </w:p>
    <w:p w:rsidR="00C43648" w:rsidRDefault="00461C4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29120971"/>
        </w:sdtPr>
        <w:sdtEndPr/>
        <w:sdtContent>
          <w:r w:rsidR="008049A4">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F0429">
      <w:headerReference w:type="default" r:id="rId8"/>
      <w:footerReference w:type="default" r:id="rId9"/>
      <w:pgSz w:w="11907" w:h="16840" w:code="9"/>
      <w:pgMar w:top="1440" w:right="1275"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C48" w:rsidRDefault="00461C48">
      <w:r>
        <w:separator/>
      </w:r>
    </w:p>
  </w:endnote>
  <w:endnote w:type="continuationSeparator" w:id="0">
    <w:p w:rsidR="00461C48" w:rsidRDefault="00461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537B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537B0">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C48" w:rsidRDefault="00461C48">
      <w:r>
        <w:separator/>
      </w:r>
    </w:p>
  </w:footnote>
  <w:footnote w:type="continuationSeparator" w:id="0">
    <w:p w:rsidR="00461C48" w:rsidRDefault="00461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61C48" w:rsidP="00186B3F">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68797-02-23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86B3F">
                <w:rPr>
                  <w:rFonts w:hint="cs"/>
                  <w:b/>
                  <w:bCs/>
                  <w:noProof w:val="0"/>
                  <w:sz w:val="26"/>
                  <w:szCs w:val="26"/>
                  <w:rtl/>
                </w:rPr>
                <w:t>ש. א</w:t>
              </w:r>
              <w:r w:rsidR="00B859C5">
                <w:rPr>
                  <w:b/>
                  <w:bCs/>
                  <w:noProof w:val="0"/>
                  <w:sz w:val="26"/>
                  <w:szCs w:val="26"/>
                  <w:rtl/>
                </w:rPr>
                <w:t xml:space="preserve"> נ' </w:t>
              </w:r>
              <w:r w:rsidR="00186B3F">
                <w:rPr>
                  <w:rFonts w:hint="cs"/>
                  <w:b/>
                  <w:bCs/>
                  <w:noProof w:val="0"/>
                  <w:sz w:val="26"/>
                  <w:szCs w:val="26"/>
                  <w:rtl/>
                </w:rPr>
                <w:t>ע. א</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E5D34"/>
    <w:rsid w:val="000F0BC8"/>
    <w:rsid w:val="000F0DD6"/>
    <w:rsid w:val="00107E6D"/>
    <w:rsid w:val="0011194C"/>
    <w:rsid w:val="0011424C"/>
    <w:rsid w:val="001173C6"/>
    <w:rsid w:val="00122A9F"/>
    <w:rsid w:val="001367BC"/>
    <w:rsid w:val="00144D2A"/>
    <w:rsid w:val="0014653E"/>
    <w:rsid w:val="001678F8"/>
    <w:rsid w:val="00180519"/>
    <w:rsid w:val="00186B3F"/>
    <w:rsid w:val="00191C82"/>
    <w:rsid w:val="001A0D0B"/>
    <w:rsid w:val="001C4003"/>
    <w:rsid w:val="001D4DBF"/>
    <w:rsid w:val="001E75CA"/>
    <w:rsid w:val="0022051B"/>
    <w:rsid w:val="002265FF"/>
    <w:rsid w:val="00271B56"/>
    <w:rsid w:val="00272E32"/>
    <w:rsid w:val="002C344E"/>
    <w:rsid w:val="002E75E9"/>
    <w:rsid w:val="002F0B1E"/>
    <w:rsid w:val="00307A6A"/>
    <w:rsid w:val="00307C40"/>
    <w:rsid w:val="00320433"/>
    <w:rsid w:val="00321FE9"/>
    <w:rsid w:val="003230C7"/>
    <w:rsid w:val="00327E50"/>
    <w:rsid w:val="0033597A"/>
    <w:rsid w:val="00343D89"/>
    <w:rsid w:val="00362612"/>
    <w:rsid w:val="0036743F"/>
    <w:rsid w:val="003715DD"/>
    <w:rsid w:val="003823E0"/>
    <w:rsid w:val="003A4521"/>
    <w:rsid w:val="003D1C8C"/>
    <w:rsid w:val="003E38C7"/>
    <w:rsid w:val="0040096C"/>
    <w:rsid w:val="004071E5"/>
    <w:rsid w:val="00414F1F"/>
    <w:rsid w:val="0043125D"/>
    <w:rsid w:val="0043502B"/>
    <w:rsid w:val="004443AC"/>
    <w:rsid w:val="00444B02"/>
    <w:rsid w:val="00451E28"/>
    <w:rsid w:val="00461C48"/>
    <w:rsid w:val="00462C62"/>
    <w:rsid w:val="00465D36"/>
    <w:rsid w:val="004A0EDB"/>
    <w:rsid w:val="004A6150"/>
    <w:rsid w:val="004C17EE"/>
    <w:rsid w:val="004C4BDF"/>
    <w:rsid w:val="004D1187"/>
    <w:rsid w:val="004D3AA0"/>
    <w:rsid w:val="004E1987"/>
    <w:rsid w:val="004E2E15"/>
    <w:rsid w:val="004E6E3C"/>
    <w:rsid w:val="005132D7"/>
    <w:rsid w:val="00520898"/>
    <w:rsid w:val="00523621"/>
    <w:rsid w:val="00524986"/>
    <w:rsid w:val="005268F6"/>
    <w:rsid w:val="00534284"/>
    <w:rsid w:val="00547DB7"/>
    <w:rsid w:val="00557717"/>
    <w:rsid w:val="00576A86"/>
    <w:rsid w:val="00585FCB"/>
    <w:rsid w:val="005F4F09"/>
    <w:rsid w:val="00603F73"/>
    <w:rsid w:val="0061431B"/>
    <w:rsid w:val="00622BAA"/>
    <w:rsid w:val="006306CF"/>
    <w:rsid w:val="00644E9A"/>
    <w:rsid w:val="00671BD5"/>
    <w:rsid w:val="006805C1"/>
    <w:rsid w:val="00686C21"/>
    <w:rsid w:val="006931C1"/>
    <w:rsid w:val="00694556"/>
    <w:rsid w:val="006C30C5"/>
    <w:rsid w:val="006D3B31"/>
    <w:rsid w:val="006E05C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49A4"/>
    <w:rsid w:val="00805EFF"/>
    <w:rsid w:val="00814468"/>
    <w:rsid w:val="008176A1"/>
    <w:rsid w:val="00820005"/>
    <w:rsid w:val="00824AAA"/>
    <w:rsid w:val="00834ACB"/>
    <w:rsid w:val="00844318"/>
    <w:rsid w:val="00847281"/>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1B0F"/>
    <w:rsid w:val="00955642"/>
    <w:rsid w:val="009622DF"/>
    <w:rsid w:val="0096493F"/>
    <w:rsid w:val="00967DFF"/>
    <w:rsid w:val="009924F2"/>
    <w:rsid w:val="00994341"/>
    <w:rsid w:val="009D1A48"/>
    <w:rsid w:val="009D2BB5"/>
    <w:rsid w:val="009E1CE7"/>
    <w:rsid w:val="009E461A"/>
    <w:rsid w:val="009E4EA5"/>
    <w:rsid w:val="009F164B"/>
    <w:rsid w:val="009F323C"/>
    <w:rsid w:val="00A3392B"/>
    <w:rsid w:val="00A46717"/>
    <w:rsid w:val="00A85E34"/>
    <w:rsid w:val="00A9144F"/>
    <w:rsid w:val="00A94B64"/>
    <w:rsid w:val="00AA0F05"/>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33BE"/>
    <w:rsid w:val="00BA517C"/>
    <w:rsid w:val="00BB3D05"/>
    <w:rsid w:val="00BB53D3"/>
    <w:rsid w:val="00BB73BE"/>
    <w:rsid w:val="00BC2D89"/>
    <w:rsid w:val="00BD6531"/>
    <w:rsid w:val="00BE05B2"/>
    <w:rsid w:val="00BF1667"/>
    <w:rsid w:val="00BF1908"/>
    <w:rsid w:val="00C22D93"/>
    <w:rsid w:val="00C23458"/>
    <w:rsid w:val="00C23AC9"/>
    <w:rsid w:val="00C31120"/>
    <w:rsid w:val="00C34482"/>
    <w:rsid w:val="00C43648"/>
    <w:rsid w:val="00C50A9F"/>
    <w:rsid w:val="00C537B0"/>
    <w:rsid w:val="00C642FA"/>
    <w:rsid w:val="00C770E3"/>
    <w:rsid w:val="00CC7622"/>
    <w:rsid w:val="00CD608F"/>
    <w:rsid w:val="00CF0429"/>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D3A16"/>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178629">
      <w:bodyDiv w:val="1"/>
      <w:marLeft w:val="0"/>
      <w:marRight w:val="0"/>
      <w:marTop w:val="0"/>
      <w:marBottom w:val="0"/>
      <w:divBdr>
        <w:top w:val="none" w:sz="0" w:space="0" w:color="auto"/>
        <w:left w:val="none" w:sz="0" w:space="0" w:color="auto"/>
        <w:bottom w:val="none" w:sz="0" w:space="0" w:color="auto"/>
        <w:right w:val="none" w:sz="0" w:space="0" w:color="auto"/>
      </w:divBdr>
    </w:div>
    <w:div w:id="11469709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6140" w:rsidP="00206140">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06140"/>
    <w:rsid w:val="002A1419"/>
    <w:rsid w:val="002D02C4"/>
    <w:rsid w:val="002F576C"/>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14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0614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1424</Words>
  <Characters>7125</Characters>
  <Application>Microsoft Office Word</Application>
  <DocSecurity>0</DocSecurity>
  <Lines>59</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2023-04-20T07:19:00Z</dcterms:created>
  <dcterms:modified xsi:type="dcterms:W3CDTF">2023-04-20T07:19:00Z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0c047851b4369cc30457e62b193019de12f0de209fe83eec69f9d6e626d53d8f</vt:lpwstr>
  </property>
</Properties>
</file>